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7" w:rsidRPr="007739EF" w:rsidRDefault="001D7E8D" w:rsidP="007739EF">
      <w:pPr>
        <w:spacing w:before="96" w:after="96"/>
        <w:ind w:left="5664"/>
        <w:rPr>
          <w:rFonts w:ascii="Times New Roman" w:eastAsia="Times New Roman" w:hAnsi="Times New Roman"/>
          <w:b/>
          <w:w w:val="99"/>
        </w:rPr>
      </w:pPr>
      <w:r w:rsidRPr="007739EF">
        <w:rPr>
          <w:rFonts w:ascii="Times New Roman" w:eastAsia="Times New Roman" w:hAnsi="Times New Roman"/>
          <w:b/>
          <w:w w:val="99"/>
        </w:rPr>
        <w:t>Załącznik nr 4 do ogłoszenia</w:t>
      </w:r>
    </w:p>
    <w:p w:rsidR="007C5657" w:rsidRPr="007739EF" w:rsidRDefault="007C5657">
      <w:pPr>
        <w:spacing w:before="96" w:after="96"/>
        <w:rPr>
          <w:rFonts w:ascii="Times New Roman" w:eastAsia="Times New Roman" w:hAnsi="Times New Roman"/>
          <w:b/>
          <w:w w:val="99"/>
        </w:rPr>
      </w:pPr>
    </w:p>
    <w:p w:rsidR="007C5657" w:rsidRPr="007739EF" w:rsidRDefault="007C5657">
      <w:pPr>
        <w:pStyle w:val="Standard"/>
        <w:spacing w:before="96" w:after="96" w:line="271" w:lineRule="auto"/>
        <w:jc w:val="center"/>
        <w:rPr>
          <w:rFonts w:eastAsia="Times New Roman"/>
          <w:b/>
          <w:w w:val="99"/>
        </w:rPr>
      </w:pPr>
    </w:p>
    <w:p w:rsidR="007C5657" w:rsidRPr="007739EF" w:rsidRDefault="008E6AD5">
      <w:pPr>
        <w:pStyle w:val="Standard"/>
        <w:spacing w:before="96" w:after="96" w:line="271" w:lineRule="auto"/>
        <w:ind w:left="6559" w:right="425"/>
        <w:jc w:val="center"/>
        <w:rPr>
          <w:sz w:val="18"/>
          <w:szCs w:val="18"/>
        </w:rPr>
      </w:pPr>
      <w:r w:rsidRPr="007739EF">
        <w:rPr>
          <w:rStyle w:val="Teksttreci9"/>
          <w:rFonts w:eastAsia="SimSun"/>
          <w:sz w:val="18"/>
          <w:szCs w:val="18"/>
        </w:rPr>
        <w:t>AKCEPTUJĘ</w:t>
      </w:r>
    </w:p>
    <w:p w:rsidR="007C5657" w:rsidRPr="007739EF" w:rsidRDefault="008E6AD5">
      <w:pPr>
        <w:pStyle w:val="Standard"/>
        <w:spacing w:before="96" w:after="96" w:line="271" w:lineRule="auto"/>
        <w:ind w:left="6559" w:right="425"/>
        <w:jc w:val="center"/>
        <w:rPr>
          <w:sz w:val="18"/>
          <w:szCs w:val="18"/>
        </w:rPr>
      </w:pPr>
      <w:r w:rsidRPr="007739EF">
        <w:rPr>
          <w:rStyle w:val="Teksttreci9"/>
          <w:rFonts w:eastAsia="SimSun"/>
          <w:sz w:val="18"/>
          <w:szCs w:val="18"/>
        </w:rPr>
        <w:t>………………..</w:t>
      </w:r>
    </w:p>
    <w:p w:rsidR="007C5657" w:rsidRPr="007739EF" w:rsidRDefault="008E6AD5">
      <w:pPr>
        <w:pStyle w:val="Standard"/>
        <w:spacing w:before="96" w:after="96" w:line="240" w:lineRule="auto"/>
        <w:ind w:left="6560" w:right="425"/>
        <w:jc w:val="center"/>
        <w:rPr>
          <w:sz w:val="18"/>
          <w:szCs w:val="18"/>
        </w:rPr>
      </w:pPr>
      <w:r w:rsidRPr="007739EF">
        <w:rPr>
          <w:rStyle w:val="Teksttreci6"/>
          <w:rFonts w:eastAsia="SimSun"/>
          <w:sz w:val="18"/>
          <w:szCs w:val="18"/>
        </w:rPr>
        <w:t>data, oznaczenie</w:t>
      </w:r>
      <w:r w:rsidRPr="007739EF">
        <w:rPr>
          <w:rStyle w:val="Odwoanieprzypisudolnego"/>
          <w:sz w:val="18"/>
          <w:szCs w:val="18"/>
        </w:rPr>
        <w:footnoteReference w:id="1"/>
      </w:r>
      <w:r w:rsidRPr="007739EF">
        <w:rPr>
          <w:rStyle w:val="Teksttreci6"/>
          <w:rFonts w:eastAsia="SimSun"/>
          <w:sz w:val="18"/>
          <w:szCs w:val="18"/>
          <w:vertAlign w:val="superscript"/>
        </w:rPr>
        <w:t xml:space="preserve">) </w:t>
      </w:r>
      <w:r w:rsidRPr="007739EF">
        <w:rPr>
          <w:rStyle w:val="Teksttreci6"/>
          <w:rFonts w:eastAsia="SimSun"/>
          <w:sz w:val="18"/>
          <w:szCs w:val="18"/>
        </w:rPr>
        <w:t xml:space="preserve">oraz podpis osoby zatwierdzającej program </w:t>
      </w:r>
      <w:bookmarkStart w:id="0" w:name="_GoBack"/>
      <w:bookmarkEnd w:id="0"/>
      <w:r w:rsidRPr="007739EF">
        <w:rPr>
          <w:rStyle w:val="Teksttreci6"/>
          <w:rFonts w:eastAsia="SimSun"/>
          <w:sz w:val="18"/>
          <w:szCs w:val="18"/>
        </w:rPr>
        <w:t>polityki zdrowotnej do realizacji oraz wskazanie podstawy akceptacji, jeżeli dotyczy</w:t>
      </w:r>
    </w:p>
    <w:p w:rsidR="007C5657" w:rsidRPr="007739EF" w:rsidRDefault="007C5657">
      <w:pPr>
        <w:pStyle w:val="Standard"/>
        <w:spacing w:before="96" w:after="96" w:line="271" w:lineRule="auto"/>
      </w:pPr>
    </w:p>
    <w:p w:rsidR="007C5657" w:rsidRPr="007739EF" w:rsidRDefault="007C5657">
      <w:pPr>
        <w:pStyle w:val="Standard"/>
        <w:spacing w:before="96" w:after="96" w:line="271" w:lineRule="auto"/>
      </w:pPr>
    </w:p>
    <w:p w:rsidR="007C5657" w:rsidRPr="007739EF" w:rsidRDefault="007C5657">
      <w:pPr>
        <w:pStyle w:val="Akapitzlist"/>
        <w:spacing w:before="96" w:after="96"/>
        <w:ind w:left="0"/>
        <w:jc w:val="center"/>
        <w:rPr>
          <w:rFonts w:ascii="Times New Roman" w:hAnsi="Times New Roman"/>
          <w:b/>
        </w:rPr>
      </w:pPr>
    </w:p>
    <w:p w:rsidR="007C5657" w:rsidRPr="007739EF" w:rsidRDefault="008E6AD5">
      <w:pPr>
        <w:pStyle w:val="Standard"/>
        <w:spacing w:before="96" w:after="96" w:line="271" w:lineRule="auto"/>
        <w:jc w:val="both"/>
        <w:rPr>
          <w:b/>
        </w:rPr>
      </w:pPr>
      <w:r w:rsidRPr="007739EF">
        <w:rPr>
          <w:b/>
        </w:rPr>
        <w:tab/>
      </w:r>
      <w:r w:rsidRPr="007739EF">
        <w:rPr>
          <w:b/>
        </w:rPr>
        <w:tab/>
      </w:r>
    </w:p>
    <w:p w:rsidR="007C5657" w:rsidRPr="007739EF" w:rsidRDefault="008E6AD5">
      <w:pPr>
        <w:pStyle w:val="Standard"/>
        <w:spacing w:before="96" w:after="96" w:line="271" w:lineRule="auto"/>
        <w:jc w:val="center"/>
        <w:rPr>
          <w:rFonts w:eastAsia="Times New Roman"/>
          <w:b/>
          <w:w w:val="99"/>
          <w:kern w:val="0"/>
        </w:rPr>
      </w:pPr>
      <w:r w:rsidRPr="007739EF">
        <w:rPr>
          <w:rFonts w:eastAsia="Times New Roman"/>
          <w:b/>
          <w:w w:val="99"/>
          <w:kern w:val="0"/>
        </w:rPr>
        <w:t xml:space="preserve">Program profilaktyki i wczesnego wykrywania osteoporozy </w:t>
      </w:r>
    </w:p>
    <w:p w:rsidR="007C5657" w:rsidRPr="007739EF" w:rsidRDefault="008E6AD5">
      <w:pPr>
        <w:pStyle w:val="Standard"/>
        <w:spacing w:before="96" w:after="96" w:line="271" w:lineRule="auto"/>
        <w:jc w:val="center"/>
        <w:rPr>
          <w:rFonts w:eastAsia="Times New Roman"/>
          <w:b/>
          <w:w w:val="99"/>
          <w:kern w:val="0"/>
        </w:rPr>
      </w:pPr>
      <w:r w:rsidRPr="007739EF">
        <w:rPr>
          <w:rFonts w:eastAsia="Times New Roman"/>
          <w:b/>
          <w:w w:val="99"/>
          <w:kern w:val="0"/>
        </w:rPr>
        <w:t>wśród mieszkańców Gminy Kłodawa</w:t>
      </w:r>
    </w:p>
    <w:p w:rsidR="007C5657" w:rsidRPr="007739EF" w:rsidRDefault="008E6AD5">
      <w:pPr>
        <w:pStyle w:val="Standard"/>
        <w:spacing w:before="96" w:after="96" w:line="271" w:lineRule="auto"/>
        <w:jc w:val="center"/>
        <w:rPr>
          <w:rFonts w:eastAsia="Times New Roman"/>
          <w:b/>
          <w:w w:val="99"/>
          <w:kern w:val="0"/>
        </w:rPr>
      </w:pPr>
      <w:r w:rsidRPr="007739EF">
        <w:rPr>
          <w:rFonts w:eastAsia="Times New Roman"/>
          <w:b/>
          <w:w w:val="99"/>
          <w:kern w:val="0"/>
        </w:rPr>
        <w:t>na lata 2023-2025</w:t>
      </w:r>
    </w:p>
    <w:p w:rsidR="007C5657" w:rsidRPr="007739EF" w:rsidRDefault="008E6AD5">
      <w:pPr>
        <w:pStyle w:val="Standard"/>
        <w:spacing w:before="96" w:after="96" w:line="271" w:lineRule="auto"/>
        <w:jc w:val="center"/>
        <w:rPr>
          <w:sz w:val="20"/>
          <w:szCs w:val="20"/>
        </w:rPr>
      </w:pPr>
      <w:r w:rsidRPr="007739EF">
        <w:rPr>
          <w:sz w:val="20"/>
          <w:szCs w:val="20"/>
        </w:rPr>
        <w:t>Podstawa prawna: Art. 48 ustawy z dnia 27 sierpnia 2004r. o świadczeniach opieki zdrowotnej  finansowanych ze środków publicznych [tekst jedn. Dz.U. 2022 poz. 2561 z późn.zm.]</w:t>
      </w:r>
    </w:p>
    <w:p w:rsidR="007C5657" w:rsidRPr="007739EF" w:rsidRDefault="007C5657">
      <w:pPr>
        <w:pStyle w:val="Akapitzlist"/>
        <w:spacing w:before="96" w:after="96"/>
        <w:jc w:val="both"/>
        <w:rPr>
          <w:rFonts w:ascii="Times New Roman" w:hAnsi="Times New Roman"/>
          <w:b/>
        </w:rPr>
      </w:pPr>
    </w:p>
    <w:p w:rsidR="007C5657" w:rsidRPr="007739EF" w:rsidRDefault="007C5657">
      <w:pPr>
        <w:pStyle w:val="Akapitzlist"/>
        <w:spacing w:before="96" w:after="96"/>
        <w:rPr>
          <w:rFonts w:ascii="Times New Roman" w:hAnsi="Times New Roman"/>
          <w:b/>
        </w:rPr>
      </w:pPr>
    </w:p>
    <w:p w:rsidR="007C5657" w:rsidRPr="007739EF" w:rsidRDefault="007C5657">
      <w:pPr>
        <w:pStyle w:val="Akapitzlist"/>
        <w:spacing w:before="96" w:after="96"/>
        <w:rPr>
          <w:rFonts w:ascii="Times New Roman" w:hAnsi="Times New Roman"/>
          <w:b/>
        </w:rPr>
      </w:pPr>
    </w:p>
    <w:p w:rsidR="007C5657" w:rsidRPr="007739EF" w:rsidRDefault="007C5657">
      <w:pPr>
        <w:spacing w:before="96" w:after="96"/>
        <w:rPr>
          <w:rFonts w:ascii="Times New Roman" w:hAnsi="Times New Roman"/>
          <w:b/>
        </w:rPr>
      </w:pPr>
    </w:p>
    <w:p w:rsidR="007C5657" w:rsidRPr="007739EF" w:rsidRDefault="007C5657">
      <w:pPr>
        <w:spacing w:before="96" w:after="96"/>
        <w:rPr>
          <w:rFonts w:ascii="Times New Roman" w:hAnsi="Times New Roman"/>
          <w:b/>
        </w:rPr>
      </w:pPr>
    </w:p>
    <w:p w:rsidR="007C5657" w:rsidRPr="007739EF" w:rsidRDefault="007C5657">
      <w:pPr>
        <w:spacing w:before="96" w:after="96"/>
        <w:rPr>
          <w:rFonts w:ascii="Times New Roman" w:hAnsi="Times New Roman"/>
          <w:b/>
        </w:rPr>
      </w:pPr>
    </w:p>
    <w:p w:rsidR="007C5657" w:rsidRPr="007739EF" w:rsidRDefault="007C5657">
      <w:pPr>
        <w:spacing w:before="96" w:after="96"/>
        <w:rPr>
          <w:rFonts w:ascii="Times New Roman" w:hAnsi="Times New Roman"/>
          <w:b/>
        </w:rPr>
      </w:pPr>
    </w:p>
    <w:p w:rsidR="007C5657" w:rsidRPr="007739EF" w:rsidRDefault="007C5657">
      <w:pPr>
        <w:spacing w:before="96" w:after="96"/>
        <w:rPr>
          <w:rFonts w:ascii="Times New Roman" w:hAnsi="Times New Roman"/>
          <w:b/>
        </w:rPr>
      </w:pPr>
    </w:p>
    <w:p w:rsidR="007C5657" w:rsidRPr="007739EF" w:rsidRDefault="007C5657">
      <w:pPr>
        <w:spacing w:before="96" w:after="96"/>
        <w:rPr>
          <w:rFonts w:ascii="Times New Roman" w:hAnsi="Times New Roman"/>
          <w:b/>
        </w:rPr>
      </w:pPr>
    </w:p>
    <w:p w:rsidR="007C5657" w:rsidRPr="007739EF" w:rsidRDefault="007C5657">
      <w:pPr>
        <w:spacing w:before="96" w:after="96"/>
        <w:rPr>
          <w:rFonts w:ascii="Times New Roman" w:hAnsi="Times New Roman"/>
          <w:b/>
        </w:rPr>
      </w:pPr>
    </w:p>
    <w:p w:rsidR="007C5657" w:rsidRPr="007739EF" w:rsidRDefault="007C5657">
      <w:pPr>
        <w:spacing w:before="96" w:after="96"/>
        <w:rPr>
          <w:rFonts w:ascii="Times New Roman" w:hAnsi="Times New Roman"/>
          <w:b/>
        </w:rPr>
      </w:pPr>
    </w:p>
    <w:p w:rsidR="007C5657" w:rsidRPr="007739EF" w:rsidRDefault="008E6AD5">
      <w:pPr>
        <w:pStyle w:val="Standard"/>
        <w:tabs>
          <w:tab w:val="left" w:pos="1160"/>
        </w:tabs>
        <w:spacing w:before="96" w:after="96" w:line="271" w:lineRule="auto"/>
        <w:jc w:val="center"/>
        <w:rPr>
          <w:b/>
        </w:rPr>
        <w:sectPr w:rsidR="007C5657" w:rsidRPr="007739EF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  <w:r w:rsidRPr="007739EF">
        <w:rPr>
          <w:b/>
        </w:rPr>
        <w:t>Kłodawa, 2023</w:t>
      </w:r>
    </w:p>
    <w:p w:rsidR="007C5657" w:rsidRPr="007739EF" w:rsidRDefault="007C5657">
      <w:pPr>
        <w:spacing w:before="96" w:after="96"/>
        <w:jc w:val="both"/>
        <w:rPr>
          <w:rFonts w:ascii="Times New Roman" w:hAnsi="Times New Roman"/>
          <w:b/>
        </w:rPr>
      </w:pPr>
    </w:p>
    <w:p w:rsidR="007C5657" w:rsidRPr="007739EF" w:rsidRDefault="008E6AD5">
      <w:pPr>
        <w:pStyle w:val="Akapitzlist"/>
        <w:numPr>
          <w:ilvl w:val="0"/>
          <w:numId w:val="1"/>
        </w:numPr>
        <w:spacing w:before="96" w:after="96"/>
        <w:ind w:left="284" w:hanging="42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  <w:b/>
        </w:rPr>
        <w:t>Nazwa programu</w:t>
      </w:r>
      <w:r w:rsidRPr="007739EF">
        <w:rPr>
          <w:rFonts w:ascii="Times New Roman" w:hAnsi="Times New Roman"/>
        </w:rPr>
        <w:t>:</w:t>
      </w:r>
    </w:p>
    <w:p w:rsidR="007C5657" w:rsidRPr="007739EF" w:rsidRDefault="008E6AD5">
      <w:pPr>
        <w:pStyle w:val="Akapitzlist"/>
        <w:spacing w:before="96" w:after="96"/>
        <w:ind w:left="284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Program profilaktyki i wczesnego wykrywania osteoporozy wśród mieszkańców Gminy Kłodawa na lata 2023-2025</w:t>
      </w:r>
    </w:p>
    <w:p w:rsidR="007C5657" w:rsidRPr="007739EF" w:rsidRDefault="007C5657">
      <w:pPr>
        <w:pStyle w:val="Akapitzlist"/>
        <w:spacing w:before="96" w:after="96"/>
        <w:ind w:left="284"/>
        <w:jc w:val="both"/>
        <w:rPr>
          <w:rFonts w:ascii="Times New Roman" w:hAnsi="Times New Roman"/>
        </w:rPr>
      </w:pPr>
    </w:p>
    <w:p w:rsidR="007C5657" w:rsidRPr="007739EF" w:rsidRDefault="008E6AD5">
      <w:pPr>
        <w:pStyle w:val="Akapitzlist"/>
        <w:numPr>
          <w:ilvl w:val="0"/>
          <w:numId w:val="1"/>
        </w:numPr>
        <w:spacing w:before="96" w:after="96"/>
        <w:ind w:left="284" w:hanging="42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  <w:b/>
        </w:rPr>
        <w:t>Okres realizacji programu</w:t>
      </w:r>
      <w:r w:rsidRPr="007739EF">
        <w:rPr>
          <w:rFonts w:ascii="Times New Roman" w:hAnsi="Times New Roman"/>
        </w:rPr>
        <w:t>: 2023-2025</w:t>
      </w:r>
    </w:p>
    <w:p w:rsidR="007C5657" w:rsidRPr="007739EF" w:rsidRDefault="007C5657">
      <w:pPr>
        <w:spacing w:before="96" w:after="96"/>
        <w:jc w:val="both"/>
        <w:rPr>
          <w:rFonts w:ascii="Times New Roman" w:hAnsi="Times New Roman"/>
          <w:bCs/>
        </w:rPr>
      </w:pPr>
    </w:p>
    <w:p w:rsidR="007C5657" w:rsidRPr="007739EF" w:rsidRDefault="008E6AD5">
      <w:pPr>
        <w:pStyle w:val="Akapitzlist"/>
        <w:numPr>
          <w:ilvl w:val="0"/>
          <w:numId w:val="1"/>
        </w:numPr>
        <w:spacing w:before="96" w:after="96"/>
        <w:ind w:left="284" w:hanging="42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  <w:b/>
        </w:rPr>
        <w:t>Kontynuacja/trwałość programu</w:t>
      </w:r>
      <w:r w:rsidRPr="007739EF">
        <w:rPr>
          <w:rFonts w:ascii="Times New Roman" w:hAnsi="Times New Roman"/>
        </w:rPr>
        <w:t xml:space="preserve">: </w:t>
      </w:r>
    </w:p>
    <w:p w:rsidR="007C5657" w:rsidRPr="007739EF" w:rsidRDefault="007C5657">
      <w:pPr>
        <w:pStyle w:val="Akapitzlist"/>
        <w:spacing w:before="96" w:after="96"/>
        <w:ind w:left="284" w:hanging="426"/>
        <w:jc w:val="both"/>
        <w:rPr>
          <w:rFonts w:ascii="Times New Roman" w:hAnsi="Times New Roman"/>
        </w:rPr>
      </w:pPr>
    </w:p>
    <w:p w:rsidR="007C5657" w:rsidRPr="007739EF" w:rsidRDefault="008E6AD5">
      <w:pPr>
        <w:pStyle w:val="Akapitzlist"/>
        <w:spacing w:before="96" w:after="96"/>
        <w:ind w:left="284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Opisywany program polityki zdrowotnej nie stanowi kontynuacji programu realizowanego w poprzednim okresie.</w:t>
      </w:r>
    </w:p>
    <w:p w:rsidR="007C5657" w:rsidRPr="007739EF" w:rsidRDefault="007C5657">
      <w:pPr>
        <w:pStyle w:val="Akapitzlist"/>
        <w:spacing w:before="96" w:after="96"/>
        <w:ind w:left="284" w:hanging="426"/>
        <w:jc w:val="both"/>
        <w:rPr>
          <w:rFonts w:ascii="Times New Roman" w:hAnsi="Times New Roman"/>
        </w:rPr>
      </w:pPr>
    </w:p>
    <w:p w:rsidR="007C5657" w:rsidRPr="007739EF" w:rsidRDefault="008E6AD5">
      <w:pPr>
        <w:pStyle w:val="Akapitzlist"/>
        <w:numPr>
          <w:ilvl w:val="0"/>
          <w:numId w:val="1"/>
        </w:numPr>
        <w:spacing w:before="96" w:after="96"/>
        <w:ind w:left="284" w:hanging="42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  <w:b/>
        </w:rPr>
        <w:t>Dane kontaktowe</w:t>
      </w:r>
      <w:r w:rsidRPr="007739EF">
        <w:rPr>
          <w:rFonts w:ascii="Times New Roman" w:hAnsi="Times New Roman"/>
        </w:rPr>
        <w:t>:</w:t>
      </w:r>
    </w:p>
    <w:p w:rsidR="007C5657" w:rsidRPr="007739EF" w:rsidRDefault="004B1C40">
      <w:pPr>
        <w:tabs>
          <w:tab w:val="left" w:pos="284"/>
        </w:tabs>
        <w:spacing w:before="96" w:after="96"/>
        <w:ind w:left="284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Urząd </w:t>
      </w:r>
      <w:r w:rsidR="008E6AD5" w:rsidRPr="007739EF">
        <w:rPr>
          <w:rFonts w:ascii="Times New Roman" w:hAnsi="Times New Roman"/>
        </w:rPr>
        <w:t xml:space="preserve">Gminy Kłodawa </w:t>
      </w:r>
    </w:p>
    <w:p w:rsidR="007C5657" w:rsidRPr="007739EF" w:rsidRDefault="008E6AD5">
      <w:pPr>
        <w:tabs>
          <w:tab w:val="left" w:pos="284"/>
        </w:tabs>
        <w:spacing w:before="96" w:after="96"/>
        <w:ind w:left="284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Adres: Ul. Gorzowska 40, 66-415 Kłodawa</w:t>
      </w:r>
    </w:p>
    <w:p w:rsidR="007C5657" w:rsidRPr="007739EF" w:rsidRDefault="004B1C40">
      <w:pPr>
        <w:tabs>
          <w:tab w:val="left" w:pos="284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Numer telefonu: 95 721 66 60</w:t>
      </w:r>
    </w:p>
    <w:p w:rsidR="007C5657" w:rsidRPr="007739EF" w:rsidRDefault="008E6AD5">
      <w:pPr>
        <w:tabs>
          <w:tab w:val="left" w:pos="284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E-mail: sekretariat@klodawa.pl</w:t>
      </w:r>
    </w:p>
    <w:p w:rsidR="007C5657" w:rsidRPr="007739EF" w:rsidRDefault="007C5657">
      <w:pPr>
        <w:tabs>
          <w:tab w:val="left" w:pos="284"/>
        </w:tabs>
        <w:spacing w:before="96" w:after="96"/>
        <w:jc w:val="both"/>
        <w:rPr>
          <w:rFonts w:ascii="Times New Roman" w:hAnsi="Times New Roman"/>
          <w:lang w:val="en-US"/>
        </w:rPr>
      </w:pPr>
    </w:p>
    <w:p w:rsidR="007C5657" w:rsidRPr="007739EF" w:rsidRDefault="008E6AD5">
      <w:pPr>
        <w:pStyle w:val="Akapitzlist"/>
        <w:numPr>
          <w:ilvl w:val="0"/>
          <w:numId w:val="1"/>
        </w:numPr>
        <w:spacing w:before="96" w:after="96"/>
        <w:ind w:left="284" w:hanging="42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  <w:b/>
        </w:rPr>
        <w:t>Data opracowania programu</w:t>
      </w:r>
      <w:r w:rsidRPr="007739EF">
        <w:rPr>
          <w:rFonts w:ascii="Times New Roman" w:hAnsi="Times New Roman"/>
        </w:rPr>
        <w:t>: I kwartał 2023r.</w:t>
      </w:r>
    </w:p>
    <w:p w:rsidR="007C5657" w:rsidRPr="007739EF" w:rsidRDefault="007C5657">
      <w:pPr>
        <w:pStyle w:val="Akapitzlist"/>
        <w:spacing w:before="96" w:after="96"/>
        <w:ind w:left="284"/>
        <w:jc w:val="both"/>
        <w:rPr>
          <w:rFonts w:ascii="Times New Roman" w:hAnsi="Times New Roman"/>
        </w:rPr>
      </w:pPr>
    </w:p>
    <w:p w:rsidR="007C5657" w:rsidRPr="007739EF" w:rsidRDefault="008E6AD5">
      <w:pPr>
        <w:pStyle w:val="Akapitzlist"/>
        <w:numPr>
          <w:ilvl w:val="0"/>
          <w:numId w:val="1"/>
        </w:numPr>
        <w:spacing w:before="96" w:after="96"/>
        <w:ind w:left="284" w:hanging="426"/>
        <w:jc w:val="both"/>
        <w:rPr>
          <w:rFonts w:ascii="Times New Roman" w:hAnsi="Times New Roman"/>
          <w:bCs/>
        </w:rPr>
      </w:pPr>
      <w:r w:rsidRPr="007739EF">
        <w:rPr>
          <w:rFonts w:ascii="Times New Roman" w:hAnsi="Times New Roman"/>
          <w:b/>
        </w:rPr>
        <w:t>Zgodność z rekomendacją</w:t>
      </w:r>
      <w:r w:rsidRPr="007739EF">
        <w:rPr>
          <w:rFonts w:ascii="Times New Roman" w:hAnsi="Times New Roman"/>
          <w:bCs/>
        </w:rPr>
        <w:t>: nr 9/2020 z dnia 30 listopada 2020 Prezesa Agencji Oceny Technologii Medycznych i Taryfikacji w sprawie zalecanych technologii medycznych, działań przeprowadzanych w ramach programów polityki zdrowotnej oraz warunków realizacji tych programów, dotyczących wykrywania osteoporozy</w:t>
      </w:r>
    </w:p>
    <w:p w:rsidR="007C5657" w:rsidRPr="007739EF" w:rsidRDefault="007C5657">
      <w:pPr>
        <w:spacing w:before="96" w:after="96"/>
        <w:jc w:val="both"/>
        <w:rPr>
          <w:rFonts w:ascii="Times New Roman" w:hAnsi="Times New Roman"/>
        </w:rPr>
      </w:pPr>
    </w:p>
    <w:p w:rsidR="007C5657" w:rsidRPr="007739EF" w:rsidRDefault="008E6AD5">
      <w:pPr>
        <w:tabs>
          <w:tab w:val="left" w:pos="382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</w:r>
    </w:p>
    <w:p w:rsidR="007C5657" w:rsidRPr="007739EF" w:rsidRDefault="007C5657">
      <w:pPr>
        <w:spacing w:before="96" w:after="96"/>
        <w:jc w:val="both"/>
        <w:rPr>
          <w:rFonts w:ascii="Times New Roman" w:hAnsi="Times New Roman"/>
        </w:rPr>
      </w:pPr>
    </w:p>
    <w:p w:rsidR="007C5657" w:rsidRPr="007739EF" w:rsidRDefault="007C5657">
      <w:pPr>
        <w:spacing w:before="96" w:after="96"/>
        <w:jc w:val="both"/>
        <w:rPr>
          <w:rFonts w:ascii="Times New Roman" w:hAnsi="Times New Roman"/>
        </w:rPr>
      </w:pPr>
    </w:p>
    <w:p w:rsidR="007C5657" w:rsidRPr="007739EF" w:rsidRDefault="007C5657">
      <w:pPr>
        <w:spacing w:before="96" w:after="96"/>
        <w:jc w:val="both"/>
        <w:rPr>
          <w:rFonts w:ascii="Times New Roman" w:hAnsi="Times New Roman"/>
        </w:rPr>
      </w:pPr>
    </w:p>
    <w:p w:rsidR="007C5657" w:rsidRPr="007739EF" w:rsidRDefault="007C5657">
      <w:pPr>
        <w:spacing w:before="96" w:after="96"/>
        <w:jc w:val="both"/>
        <w:rPr>
          <w:rFonts w:ascii="Times New Roman" w:hAnsi="Times New Roman"/>
        </w:rPr>
      </w:pPr>
    </w:p>
    <w:p w:rsidR="007C5657" w:rsidRPr="007739EF" w:rsidRDefault="007C5657">
      <w:pPr>
        <w:spacing w:before="96" w:after="96"/>
        <w:jc w:val="both"/>
        <w:rPr>
          <w:rFonts w:ascii="Times New Roman" w:hAnsi="Times New Roman"/>
        </w:rPr>
      </w:pPr>
    </w:p>
    <w:p w:rsidR="007C5657" w:rsidRPr="007739EF" w:rsidRDefault="007C5657">
      <w:pPr>
        <w:spacing w:before="96" w:after="96"/>
        <w:jc w:val="both"/>
        <w:rPr>
          <w:rFonts w:ascii="Times New Roman" w:hAnsi="Times New Roman"/>
        </w:rPr>
      </w:pPr>
    </w:p>
    <w:p w:rsidR="007C5657" w:rsidRPr="007739EF" w:rsidRDefault="008E6AD5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</w:r>
    </w:p>
    <w:p w:rsidR="007C5657" w:rsidRPr="007739EF" w:rsidRDefault="007C5657">
      <w:pPr>
        <w:rPr>
          <w:rFonts w:ascii="Times New Roman" w:hAnsi="Times New Roman"/>
        </w:rPr>
        <w:sectPr w:rsidR="007C5657" w:rsidRPr="007739E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346280895"/>
        <w:docPartObj>
          <w:docPartGallery w:val="Table of Contents"/>
          <w:docPartUnique/>
        </w:docPartObj>
      </w:sdtPr>
      <w:sdtEndPr/>
      <w:sdtContent>
        <w:p w:rsidR="007C5657" w:rsidRPr="007739EF" w:rsidRDefault="008E6AD5">
          <w:pPr>
            <w:pStyle w:val="Nagwekspisutreci"/>
            <w:spacing w:before="96" w:after="96" w:line="271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739E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:rsidR="007C5657" w:rsidRPr="007739EF" w:rsidRDefault="008E6AD5">
          <w:pPr>
            <w:pStyle w:val="Spistreci1"/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r w:rsidRPr="007739EF">
            <w:rPr>
              <w:rFonts w:ascii="Times New Roman" w:hAnsi="Times New Roman"/>
            </w:rPr>
            <w:fldChar w:fldCharType="begin"/>
          </w:r>
          <w:r w:rsidRPr="007739EF">
            <w:rPr>
              <w:rStyle w:val="czeindeksu"/>
              <w:rFonts w:ascii="Times New Roman" w:hAnsi="Times New Roman"/>
              <w:webHidden/>
              <w:lang w:bidi="en-US"/>
            </w:rPr>
            <w:instrText xml:space="preserve"> TOC \z \o "1-3" \u \h</w:instrText>
          </w:r>
          <w:r w:rsidRPr="007739EF">
            <w:rPr>
              <w:rStyle w:val="czeindeksu"/>
              <w:rFonts w:ascii="Times New Roman" w:hAnsi="Times New Roman"/>
              <w:lang w:bidi="en-US"/>
            </w:rPr>
            <w:fldChar w:fldCharType="separate"/>
          </w:r>
          <w:hyperlink w:anchor="_Toc126153305">
            <w:r w:rsidRPr="007739EF">
              <w:rPr>
                <w:rStyle w:val="czeindeksu"/>
                <w:rFonts w:ascii="Times New Roman" w:hAnsi="Times New Roman"/>
                <w:webHidden/>
                <w:lang w:bidi="en-US"/>
              </w:rPr>
              <w:t>I. Opis choroby lub problemu zdrowotnego i uzasadnienie wprowadzenia programu polityki zdrowotnej</w:t>
            </w:r>
            <w:r w:rsidRPr="007739EF">
              <w:rPr>
                <w:rFonts w:ascii="Times New Roman" w:hAnsi="Times New Roman"/>
                <w:webHidden/>
              </w:rPr>
              <w:fldChar w:fldCharType="begin"/>
            </w:r>
            <w:r w:rsidRPr="007739EF">
              <w:rPr>
                <w:rFonts w:ascii="Times New Roman" w:hAnsi="Times New Roman"/>
                <w:webHidden/>
              </w:rPr>
              <w:instrText>PAGEREF _Toc126153305 \h</w:instrText>
            </w:r>
            <w:r w:rsidRPr="007739EF">
              <w:rPr>
                <w:rFonts w:ascii="Times New Roman" w:hAnsi="Times New Roman"/>
                <w:webHidden/>
              </w:rPr>
            </w:r>
            <w:r w:rsidRPr="007739EF">
              <w:rPr>
                <w:rFonts w:ascii="Times New Roman" w:hAnsi="Times New Roman"/>
                <w:webHidden/>
              </w:rPr>
              <w:fldChar w:fldCharType="separate"/>
            </w:r>
            <w:r w:rsidRPr="007739EF">
              <w:rPr>
                <w:rStyle w:val="czeindeksu"/>
                <w:rFonts w:ascii="Times New Roman" w:hAnsi="Times New Roman"/>
              </w:rPr>
              <w:tab/>
              <w:t>4</w:t>
            </w:r>
            <w:r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06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1. Opis problemu zdrowotnego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_Toc126153306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4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07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2. Dane epidemiologiczne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_Toc126153307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6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08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3. Opis obecnego postępowania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_Toc126153308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8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09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4. Uzasadnienie potrzeby wdrożenia programu: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_Toc126153309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8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1"/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0">
            <w:r w:rsidR="008E6AD5" w:rsidRPr="007739EF">
              <w:rPr>
                <w:rStyle w:val="czeindeksu"/>
                <w:rFonts w:ascii="Times New Roman" w:hAnsi="Times New Roman"/>
                <w:webHidden/>
                <w:lang w:bidi="en-US"/>
              </w:rPr>
              <w:t>II. Cele programu polityki zdrowotnej i mierniki efektywności jego realizacji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_Toc126153310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10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1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1. Cel główny: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_Toc126153311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10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2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2. Cele szczegółowe: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_Toc126153312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10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3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3. Mierniki efektywności odpowiadające celom programu: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_Toc126153313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10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1"/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4">
            <w:r w:rsidR="008E6AD5" w:rsidRPr="007739EF">
              <w:rPr>
                <w:rStyle w:val="czeindeksu"/>
                <w:rFonts w:ascii="Times New Roman" w:hAnsi="Times New Roman"/>
                <w:webHidden/>
                <w:lang w:bidi="en-US"/>
              </w:rPr>
              <w:t>III. Charakterystyka populacji docelowej oraz charakterystyka interwencji, jakie są planowane w ramach programu polityki zdrowotnej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_Toc126153314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11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5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1. Populacja docelowa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_Toc126153315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11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6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2. Kryteria kwalifikacji do udziału w programie polityki zdrowotnej oraz kryteria wyłączenia z programu polityki zdrowotnej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_Toc126153316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11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1"/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7">
            <w:r w:rsidR="008E6AD5" w:rsidRPr="007739EF">
              <w:rPr>
                <w:rStyle w:val="czeindeksu"/>
                <w:rFonts w:ascii="Times New Roman" w:hAnsi="Times New Roman"/>
                <w:webHidden/>
                <w:lang w:bidi="en-US"/>
              </w:rPr>
              <w:t>3. Planowane interwencje: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_Toc126153317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13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8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4. Sposób udzielania świadczeń w ramach programu polityki zdrowotnej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_Toc126153318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18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19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5. Sposób zakończenia działań w programie i możliwość kontynuacji otrzymywania świadczeń zdrowotnych przez uczestników programu, jeżeli istnieją wskazania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_Toc126153319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18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1"/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0">
            <w:r w:rsidR="008E6AD5" w:rsidRPr="007739EF">
              <w:rPr>
                <w:rStyle w:val="czeindeksu"/>
                <w:rFonts w:ascii="Times New Roman" w:hAnsi="Times New Roman"/>
                <w:webHidden/>
                <w:lang w:bidi="en-US"/>
              </w:rPr>
              <w:t>IV. Organizacja programu polityki zdrowotnej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_Toc126153320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19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1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1. Części składowe, etapy i działania organizacyjne: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_Toc126153321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19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2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2. Warunki realizacji programu polityki zdrowotnej dotyczące personelu, wyposażenia i warunków lokalowych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_Toc126153322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20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1"/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3">
            <w:r w:rsidR="008E6AD5" w:rsidRPr="007739EF">
              <w:rPr>
                <w:rStyle w:val="czeindeksu"/>
                <w:rFonts w:ascii="Times New Roman" w:hAnsi="Times New Roman"/>
                <w:webHidden/>
                <w:lang w:bidi="en-US"/>
              </w:rPr>
              <w:t>V. Sposób monitorowania i ewaluacji programu polityki zdrowotnej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_Toc126153323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21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4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1. Monitorowanie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_Toc126153324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21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5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2. Ewaluacja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_Toc126153325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22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1"/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6">
            <w:r w:rsidR="008E6AD5" w:rsidRPr="007739EF">
              <w:rPr>
                <w:rStyle w:val="czeindeksu"/>
                <w:rFonts w:ascii="Times New Roman" w:hAnsi="Times New Roman"/>
                <w:webHidden/>
                <w:lang w:bidi="en-US"/>
              </w:rPr>
              <w:t>VI. Budżet programu polityki zdrowotnej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_Toc126153326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23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7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1. Koszty jednostkowe: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_Toc126153327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23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8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2. Koszty całkowite: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_Toc126153328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23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29">
            <w:r w:rsidR="008E6AD5" w:rsidRPr="007739EF">
              <w:rPr>
                <w:rStyle w:val="czeindeksu"/>
                <w:rFonts w:ascii="Times New Roman" w:hAnsi="Times New Roman"/>
                <w:webHidden/>
              </w:rPr>
              <w:t>3. Źródło finansowania.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_Toc126153329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24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1"/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30">
            <w:r w:rsidR="008E6AD5" w:rsidRPr="007739EF">
              <w:rPr>
                <w:rStyle w:val="czeindeksu"/>
                <w:rFonts w:ascii="Times New Roman" w:hAnsi="Times New Roman"/>
                <w:webHidden/>
                <w:lang w:bidi="en-US"/>
              </w:rPr>
              <w:t>Bibliografia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_Toc126153330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25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A67F02">
          <w:pPr>
            <w:pStyle w:val="Spistreci1"/>
            <w:rPr>
              <w:rFonts w:ascii="Times New Roman" w:eastAsiaTheme="minorEastAsia" w:hAnsi="Times New Roman"/>
              <w:sz w:val="22"/>
              <w:szCs w:val="22"/>
              <w:lang w:eastAsia="pl-PL"/>
            </w:rPr>
          </w:pPr>
          <w:hyperlink w:anchor="_Toc126153331">
            <w:r w:rsidR="008E6AD5" w:rsidRPr="007739EF">
              <w:rPr>
                <w:rStyle w:val="czeindeksu"/>
                <w:rFonts w:ascii="Times New Roman" w:hAnsi="Times New Roman"/>
                <w:webHidden/>
                <w:lang w:bidi="en-US"/>
              </w:rPr>
              <w:t>Załączniki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begin"/>
            </w:r>
            <w:r w:rsidR="008E6AD5" w:rsidRPr="007739EF">
              <w:rPr>
                <w:rFonts w:ascii="Times New Roman" w:hAnsi="Times New Roman"/>
                <w:webHidden/>
              </w:rPr>
              <w:instrText>PAGEREF _Toc126153331 \h</w:instrText>
            </w:r>
            <w:r w:rsidR="008E6AD5" w:rsidRPr="007739EF">
              <w:rPr>
                <w:rFonts w:ascii="Times New Roman" w:hAnsi="Times New Roman"/>
                <w:webHidden/>
              </w:rPr>
            </w:r>
            <w:r w:rsidR="008E6AD5" w:rsidRPr="007739EF">
              <w:rPr>
                <w:rFonts w:ascii="Times New Roman" w:hAnsi="Times New Roman"/>
                <w:webHidden/>
              </w:rPr>
              <w:fldChar w:fldCharType="separate"/>
            </w:r>
            <w:r w:rsidR="008E6AD5" w:rsidRPr="007739EF">
              <w:rPr>
                <w:rStyle w:val="czeindeksu"/>
                <w:rFonts w:ascii="Times New Roman" w:hAnsi="Times New Roman"/>
              </w:rPr>
              <w:tab/>
              <w:t>27</w:t>
            </w:r>
            <w:r w:rsidR="008E6AD5" w:rsidRPr="007739EF">
              <w:rPr>
                <w:rFonts w:ascii="Times New Roman" w:hAnsi="Times New Roman"/>
                <w:webHidden/>
              </w:rPr>
              <w:fldChar w:fldCharType="end"/>
            </w:r>
          </w:hyperlink>
        </w:p>
        <w:p w:rsidR="007C5657" w:rsidRPr="007739EF" w:rsidRDefault="008E6AD5">
          <w:pPr>
            <w:spacing w:before="96" w:after="96"/>
            <w:contextualSpacing/>
            <w:rPr>
              <w:rFonts w:ascii="Times New Roman" w:hAnsi="Times New Roman"/>
            </w:rPr>
          </w:pPr>
          <w:r w:rsidRPr="007739EF">
            <w:rPr>
              <w:rFonts w:ascii="Times New Roman" w:hAnsi="Times New Roman"/>
            </w:rPr>
            <w:fldChar w:fldCharType="end"/>
          </w:r>
        </w:p>
        <w:p w:rsidR="007C5657" w:rsidRPr="007739EF" w:rsidRDefault="00A67F02">
          <w:pPr>
            <w:rPr>
              <w:rFonts w:ascii="Times New Roman" w:hAnsi="Times New Roman"/>
            </w:rPr>
            <w:sectPr w:rsidR="007C5657" w:rsidRPr="007739EF">
              <w:headerReference w:type="default" r:id="rId11"/>
              <w:footerReference w:type="default" r:id="rId12"/>
              <w:pgSz w:w="11906" w:h="16838"/>
              <w:pgMar w:top="1417" w:right="1417" w:bottom="1417" w:left="1417" w:header="708" w:footer="708" w:gutter="0"/>
              <w:cols w:space="708"/>
              <w:formProt w:val="0"/>
              <w:docGrid w:linePitch="360"/>
            </w:sectPr>
          </w:pPr>
        </w:p>
      </w:sdtContent>
    </w:sdt>
    <w:p w:rsidR="007C5657" w:rsidRPr="007739EF" w:rsidRDefault="008E6AD5">
      <w:pPr>
        <w:pStyle w:val="Nagwek1"/>
        <w:spacing w:before="96" w:after="96"/>
        <w:rPr>
          <w:rFonts w:ascii="Times New Roman" w:hAnsi="Times New Roman"/>
          <w:szCs w:val="24"/>
          <w:lang w:val="pl-PL"/>
        </w:rPr>
      </w:pPr>
      <w:bookmarkStart w:id="1" w:name="_Toc126153305"/>
      <w:r w:rsidRPr="007739EF">
        <w:rPr>
          <w:rFonts w:ascii="Times New Roman" w:hAnsi="Times New Roman"/>
          <w:szCs w:val="24"/>
          <w:lang w:val="pl-PL"/>
        </w:rPr>
        <w:lastRenderedPageBreak/>
        <w:t>I. Opis choroby lub problemu zdrowotnego i uzasadnienie wprowadzenia programu polityki zdrowotnej</w:t>
      </w:r>
      <w:bookmarkEnd w:id="1"/>
    </w:p>
    <w:p w:rsidR="007C5657" w:rsidRPr="007739EF" w:rsidRDefault="007C5657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  <w:b/>
        </w:rPr>
      </w:pPr>
    </w:p>
    <w:p w:rsidR="007C5657" w:rsidRPr="007739EF" w:rsidRDefault="008E6AD5">
      <w:pPr>
        <w:pStyle w:val="Nagwek2"/>
        <w:spacing w:before="96" w:after="96"/>
        <w:contextualSpacing/>
        <w:rPr>
          <w:rFonts w:ascii="Times New Roman" w:hAnsi="Times New Roman" w:cs="Times New Roman"/>
          <w:szCs w:val="24"/>
        </w:rPr>
      </w:pPr>
      <w:bookmarkStart w:id="2" w:name="_Toc126153306"/>
      <w:r w:rsidRPr="007739EF">
        <w:rPr>
          <w:rFonts w:ascii="Times New Roman" w:hAnsi="Times New Roman" w:cs="Times New Roman"/>
          <w:szCs w:val="24"/>
        </w:rPr>
        <w:t>1. Opis problemu zdrowotnego</w:t>
      </w:r>
      <w:bookmarkEnd w:id="2"/>
    </w:p>
    <w:p w:rsidR="007C5657" w:rsidRPr="007739EF" w:rsidRDefault="008E6AD5">
      <w:pPr>
        <w:spacing w:before="96" w:after="96"/>
        <w:ind w:firstLine="708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Osteoporoza to jednostka chorobowa definiowana jako uogólniona choroba metaboliczna kości, charakteryzująca się niską masą kostną, upośledzoną </w:t>
      </w:r>
      <w:proofErr w:type="spellStart"/>
      <w:r w:rsidRPr="007739EF">
        <w:rPr>
          <w:rFonts w:ascii="Times New Roman" w:hAnsi="Times New Roman"/>
        </w:rPr>
        <w:t>mikroarchitekturą</w:t>
      </w:r>
      <w:proofErr w:type="spellEnd"/>
      <w:r w:rsidRPr="007739EF">
        <w:rPr>
          <w:rFonts w:ascii="Times New Roman" w:hAnsi="Times New Roman"/>
        </w:rPr>
        <w:t xml:space="preserve"> tkanki kostnej, a w konsekwencji zwiększoną jej łamliwością i podatnością na złamania. Określana jest jako cicha epidemia, ponieważ nie wywołuje żadnych objawów przed wystąpieniem złamań </w:t>
      </w:r>
      <w:proofErr w:type="spellStart"/>
      <w:r w:rsidRPr="007739EF">
        <w:rPr>
          <w:rFonts w:ascii="Times New Roman" w:hAnsi="Times New Roman"/>
        </w:rPr>
        <w:t>osteoporotycznych</w:t>
      </w:r>
      <w:proofErr w:type="spellEnd"/>
      <w:r w:rsidRPr="007739EF">
        <w:rPr>
          <w:rFonts w:ascii="Times New Roman" w:hAnsi="Times New Roman"/>
        </w:rPr>
        <w:t xml:space="preserve"> (głównie złamań trzonów kręgowych, bliższego końca kości udowej, bliższej części kości ramiennej oraz dystalnej części przedramienia). Schorzenie to dotyczy milionów ludzi na całym świecie i niesie za sobą daleko idące konsekwencje fizyczne i psychospołeczne dla pacjenta oraz finansowe dla systemu opieki zdrowotnej, w związku z czym wymieniane jest wśród głównych problemów zdrowia publicznego i zaliczane do chorób społecznych</w:t>
      </w:r>
      <w:r w:rsidRPr="007739EF">
        <w:rPr>
          <w:rStyle w:val="Odwoanieprzypisudolnego"/>
          <w:rFonts w:ascii="Times New Roman" w:hAnsi="Times New Roman"/>
        </w:rPr>
        <w:footnoteReference w:id="2"/>
      </w:r>
      <w:r w:rsidRPr="007739EF">
        <w:rPr>
          <w:rFonts w:ascii="Times New Roman" w:hAnsi="Times New Roman"/>
        </w:rPr>
        <w:t xml:space="preserve">. Wyróżnia się osteoporozę pierwotną i wtórną. Pierwsza z wymienionych rozwija się głównie u kobiet po menopauzie, rzadziej u mężczyzn w podeszłym wieku. Z kolei osteoporoza wtórna jest następstwem różnych stanów patologicznych lub wynikiem działania niektórych leków, najczęściej </w:t>
      </w:r>
      <w:proofErr w:type="spellStart"/>
      <w:r w:rsidRPr="007739EF">
        <w:rPr>
          <w:rFonts w:ascii="Times New Roman" w:hAnsi="Times New Roman"/>
        </w:rPr>
        <w:t>glikokortykosteroidów</w:t>
      </w:r>
      <w:proofErr w:type="spellEnd"/>
      <w:r w:rsidRPr="007739EF">
        <w:rPr>
          <w:rStyle w:val="Odwoanieprzypisudolnego"/>
          <w:rFonts w:ascii="Times New Roman" w:hAnsi="Times New Roman"/>
        </w:rPr>
        <w:footnoteReference w:id="3"/>
      </w:r>
      <w:r w:rsidRPr="007739EF">
        <w:rPr>
          <w:rFonts w:ascii="Times New Roman" w:hAnsi="Times New Roman"/>
        </w:rPr>
        <w:t>.</w:t>
      </w:r>
    </w:p>
    <w:p w:rsidR="007C5657" w:rsidRPr="007739EF" w:rsidRDefault="008E6AD5">
      <w:pPr>
        <w:spacing w:before="96" w:after="96"/>
        <w:ind w:firstLine="708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Do czynników ryzyka występowania osteoporozy pierwotnej zalicza się</w:t>
      </w:r>
      <w:r w:rsidRPr="007739EF">
        <w:rPr>
          <w:rStyle w:val="Odwoanieprzypisudolnego"/>
          <w:rFonts w:ascii="Times New Roman" w:hAnsi="Times New Roman"/>
        </w:rPr>
        <w:footnoteReference w:id="4"/>
      </w:r>
      <w:r w:rsidRPr="007739EF">
        <w:rPr>
          <w:rFonts w:ascii="Times New Roman" w:hAnsi="Times New Roman"/>
        </w:rPr>
        <w:t>:</w:t>
      </w:r>
    </w:p>
    <w:p w:rsidR="007C5657" w:rsidRPr="007739EF" w:rsidRDefault="008E6AD5">
      <w:pPr>
        <w:pStyle w:val="Akapitzlist"/>
        <w:numPr>
          <w:ilvl w:val="0"/>
          <w:numId w:val="7"/>
        </w:numPr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czynniki genetyczne i demograficzne: predyspozycja rodzinna, wiek (kobiety &gt;65 lat, mężczyźni &gt;70 lat), płeć żeńska, rasa biała i żółta (osteoporoza występuje 3 razy częściej niż u rasy czarnej);</w:t>
      </w:r>
    </w:p>
    <w:p w:rsidR="007C5657" w:rsidRPr="007739EF" w:rsidRDefault="008E6AD5">
      <w:pPr>
        <w:pStyle w:val="Akapitzlist"/>
        <w:numPr>
          <w:ilvl w:val="0"/>
          <w:numId w:val="7"/>
        </w:numPr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BMI &lt;18 kg/m</w:t>
      </w:r>
      <w:r w:rsidRPr="007739EF">
        <w:rPr>
          <w:rFonts w:ascii="Times New Roman" w:hAnsi="Times New Roman"/>
          <w:vertAlign w:val="superscript"/>
        </w:rPr>
        <w:t>2</w:t>
      </w:r>
      <w:r w:rsidRPr="007739EF">
        <w:rPr>
          <w:rFonts w:ascii="Times New Roman" w:hAnsi="Times New Roman"/>
        </w:rPr>
        <w:t>;</w:t>
      </w:r>
    </w:p>
    <w:p w:rsidR="007C5657" w:rsidRPr="007739EF" w:rsidRDefault="008E6AD5">
      <w:pPr>
        <w:pStyle w:val="Akapitzlist"/>
        <w:numPr>
          <w:ilvl w:val="0"/>
          <w:numId w:val="7"/>
        </w:numPr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stan prokreacyjny: niedobór hormonów płciowych o różnej etiologii, przedłużony brak miesiączki – późne pokwitanie, brak przebytych porodów, stan </w:t>
      </w:r>
      <w:proofErr w:type="spellStart"/>
      <w:r w:rsidRPr="007739EF">
        <w:rPr>
          <w:rFonts w:ascii="Times New Roman" w:hAnsi="Times New Roman"/>
        </w:rPr>
        <w:t>pomenopauzalny</w:t>
      </w:r>
      <w:proofErr w:type="spellEnd"/>
      <w:r w:rsidRPr="007739EF">
        <w:rPr>
          <w:rFonts w:ascii="Times New Roman" w:hAnsi="Times New Roman"/>
        </w:rPr>
        <w:t xml:space="preserve"> (zwłaszcza przedwczesny, w tym po usunięciu jajników);</w:t>
      </w:r>
    </w:p>
    <w:p w:rsidR="007C5657" w:rsidRPr="007739EF" w:rsidRDefault="008E6AD5">
      <w:pPr>
        <w:pStyle w:val="Akapitzlist"/>
        <w:numPr>
          <w:ilvl w:val="0"/>
          <w:numId w:val="7"/>
        </w:numPr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czynniki związane z odżywianiem i stylem życia: mała podaż wapnia, niedobór witaminy D, mała lub nadmierna podaż fosforu, niedobory białkowe lub dieta </w:t>
      </w:r>
      <w:proofErr w:type="spellStart"/>
      <w:r w:rsidRPr="007739EF">
        <w:rPr>
          <w:rFonts w:ascii="Times New Roman" w:hAnsi="Times New Roman"/>
        </w:rPr>
        <w:t>bogatobiałkowa</w:t>
      </w:r>
      <w:proofErr w:type="spellEnd"/>
      <w:r w:rsidRPr="007739EF">
        <w:rPr>
          <w:rFonts w:ascii="Times New Roman" w:hAnsi="Times New Roman"/>
        </w:rPr>
        <w:t>, palenie tytoniu, alkoholizm, nadmierne spożywanie kawy, siedzący tryb życia.</w:t>
      </w:r>
    </w:p>
    <w:p w:rsidR="007C5657" w:rsidRPr="007739EF" w:rsidRDefault="008E6AD5">
      <w:pPr>
        <w:spacing w:before="96" w:after="96"/>
        <w:ind w:firstLine="708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Osteoporoza wtórna może być wynikiem</w:t>
      </w:r>
      <w:r w:rsidRPr="007739EF">
        <w:rPr>
          <w:rStyle w:val="Odwoanieprzypisudolnego"/>
          <w:rFonts w:ascii="Times New Roman" w:hAnsi="Times New Roman"/>
        </w:rPr>
        <w:footnoteReference w:id="5"/>
      </w:r>
      <w:r w:rsidRPr="007739EF">
        <w:rPr>
          <w:rFonts w:ascii="Times New Roman" w:hAnsi="Times New Roman"/>
        </w:rPr>
        <w:t>:</w:t>
      </w:r>
    </w:p>
    <w:p w:rsidR="007C5657" w:rsidRPr="007739EF" w:rsidRDefault="008E6AD5">
      <w:pPr>
        <w:pStyle w:val="Akapitzlist"/>
        <w:numPr>
          <w:ilvl w:val="1"/>
          <w:numId w:val="8"/>
        </w:numPr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występowania chorób, w tym: zaburzeń hormonalnych, chorób układu pokarmowego, chorób nerek, chorób reumatycznych, chorób układu oddechowego, chorób szpiku i krwi, hiperwitaminozy A, a także stan po przeszczepieniu narządu;</w:t>
      </w:r>
    </w:p>
    <w:p w:rsidR="007C5657" w:rsidRPr="007739EF" w:rsidRDefault="008E6AD5">
      <w:pPr>
        <w:pStyle w:val="Akapitzlist"/>
        <w:numPr>
          <w:ilvl w:val="1"/>
          <w:numId w:val="8"/>
        </w:numPr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przyjmowanie </w:t>
      </w:r>
      <w:proofErr w:type="spellStart"/>
      <w:r w:rsidRPr="007739EF">
        <w:rPr>
          <w:rFonts w:ascii="Times New Roman" w:hAnsi="Times New Roman"/>
        </w:rPr>
        <w:t>glikokortykosteroidów</w:t>
      </w:r>
      <w:proofErr w:type="spellEnd"/>
      <w:r w:rsidRPr="007739EF">
        <w:rPr>
          <w:rFonts w:ascii="Times New Roman" w:hAnsi="Times New Roman"/>
        </w:rPr>
        <w:t>, hormonów tarczycy w dużych dawkach, leków przeciwpadaczkowych (</w:t>
      </w:r>
      <w:proofErr w:type="spellStart"/>
      <w:r w:rsidRPr="007739EF">
        <w:rPr>
          <w:rFonts w:ascii="Times New Roman" w:hAnsi="Times New Roman"/>
        </w:rPr>
        <w:t>fenobarbital</w:t>
      </w:r>
      <w:proofErr w:type="spellEnd"/>
      <w:r w:rsidRPr="007739EF">
        <w:rPr>
          <w:rFonts w:ascii="Times New Roman" w:hAnsi="Times New Roman"/>
        </w:rPr>
        <w:t xml:space="preserve">, fenytoina, karbamazepina), heparyny (zwłaszcza </w:t>
      </w:r>
      <w:r w:rsidRPr="007739EF">
        <w:rPr>
          <w:rFonts w:ascii="Times New Roman" w:hAnsi="Times New Roman"/>
        </w:rPr>
        <w:lastRenderedPageBreak/>
        <w:t xml:space="preserve">niefrakcjonowana), antagonistów witaminy K, </w:t>
      </w:r>
      <w:proofErr w:type="spellStart"/>
      <w:r w:rsidRPr="007739EF">
        <w:rPr>
          <w:rFonts w:ascii="Times New Roman" w:hAnsi="Times New Roman"/>
        </w:rPr>
        <w:t>cyklosporyny</w:t>
      </w:r>
      <w:proofErr w:type="spellEnd"/>
      <w:r w:rsidRPr="007739EF">
        <w:rPr>
          <w:rFonts w:ascii="Times New Roman" w:hAnsi="Times New Roman"/>
        </w:rPr>
        <w:t xml:space="preserve">, leków immunosupresyjnych w dużych dawkach i innych antymetabolitów, żywic wiążących kwasy żółciowe (np. </w:t>
      </w:r>
      <w:proofErr w:type="spellStart"/>
      <w:r w:rsidRPr="007739EF">
        <w:rPr>
          <w:rFonts w:ascii="Times New Roman" w:hAnsi="Times New Roman"/>
        </w:rPr>
        <w:t>cholestyramina</w:t>
      </w:r>
      <w:proofErr w:type="spellEnd"/>
      <w:r w:rsidRPr="007739EF">
        <w:rPr>
          <w:rFonts w:ascii="Times New Roman" w:hAnsi="Times New Roman"/>
        </w:rPr>
        <w:t xml:space="preserve">), analogów </w:t>
      </w:r>
      <w:proofErr w:type="spellStart"/>
      <w:r w:rsidRPr="007739EF">
        <w:rPr>
          <w:rFonts w:ascii="Times New Roman" w:hAnsi="Times New Roman"/>
        </w:rPr>
        <w:t>gonadoliberyny</w:t>
      </w:r>
      <w:proofErr w:type="spellEnd"/>
      <w:r w:rsidRPr="007739EF">
        <w:rPr>
          <w:rFonts w:ascii="Times New Roman" w:hAnsi="Times New Roman"/>
        </w:rPr>
        <w:t xml:space="preserve">, pochodnych </w:t>
      </w:r>
      <w:proofErr w:type="spellStart"/>
      <w:r w:rsidRPr="007739EF">
        <w:rPr>
          <w:rFonts w:ascii="Times New Roman" w:hAnsi="Times New Roman"/>
        </w:rPr>
        <w:t>tiazolidynodionu</w:t>
      </w:r>
      <w:proofErr w:type="spellEnd"/>
      <w:r w:rsidRPr="007739EF">
        <w:rPr>
          <w:rFonts w:ascii="Times New Roman" w:hAnsi="Times New Roman"/>
        </w:rPr>
        <w:t xml:space="preserve"> (</w:t>
      </w:r>
      <w:proofErr w:type="spellStart"/>
      <w:r w:rsidRPr="007739EF">
        <w:rPr>
          <w:rFonts w:ascii="Times New Roman" w:hAnsi="Times New Roman"/>
        </w:rPr>
        <w:t>pioglitazon</w:t>
      </w:r>
      <w:proofErr w:type="spellEnd"/>
      <w:r w:rsidRPr="007739EF">
        <w:rPr>
          <w:rFonts w:ascii="Times New Roman" w:hAnsi="Times New Roman"/>
        </w:rPr>
        <w:t xml:space="preserve">), </w:t>
      </w:r>
      <w:proofErr w:type="spellStart"/>
      <w:r w:rsidRPr="007739EF">
        <w:rPr>
          <w:rFonts w:ascii="Times New Roman" w:hAnsi="Times New Roman"/>
        </w:rPr>
        <w:t>tamoksyfenu</w:t>
      </w:r>
      <w:proofErr w:type="spellEnd"/>
      <w:r w:rsidRPr="007739EF">
        <w:rPr>
          <w:rFonts w:ascii="Times New Roman" w:hAnsi="Times New Roman"/>
        </w:rPr>
        <w:t xml:space="preserve"> (u kobiet przed menopauzą), inhibitorów </w:t>
      </w:r>
      <w:proofErr w:type="spellStart"/>
      <w:r w:rsidRPr="007739EF">
        <w:rPr>
          <w:rFonts w:ascii="Times New Roman" w:hAnsi="Times New Roman"/>
        </w:rPr>
        <w:t>aromatazy</w:t>
      </w:r>
      <w:proofErr w:type="spellEnd"/>
      <w:r w:rsidRPr="007739EF">
        <w:rPr>
          <w:rFonts w:ascii="Times New Roman" w:hAnsi="Times New Roman"/>
        </w:rPr>
        <w:t xml:space="preserve">, inhibitorów pompy protonowej, leków </w:t>
      </w:r>
      <w:proofErr w:type="spellStart"/>
      <w:r w:rsidRPr="007739EF">
        <w:rPr>
          <w:rFonts w:ascii="Times New Roman" w:hAnsi="Times New Roman"/>
        </w:rPr>
        <w:t>przeciwretrowirusowe</w:t>
      </w:r>
      <w:proofErr w:type="spellEnd"/>
      <w:r w:rsidRPr="007739EF">
        <w:rPr>
          <w:rFonts w:ascii="Times New Roman" w:hAnsi="Times New Roman"/>
        </w:rPr>
        <w:t>;</w:t>
      </w:r>
    </w:p>
    <w:p w:rsidR="007C5657" w:rsidRPr="007739EF" w:rsidRDefault="008E6AD5">
      <w:pPr>
        <w:pStyle w:val="Akapitzlist"/>
        <w:numPr>
          <w:ilvl w:val="1"/>
          <w:numId w:val="8"/>
        </w:numPr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unieruchomienie, przebyte złamania, </w:t>
      </w:r>
      <w:proofErr w:type="spellStart"/>
      <w:r w:rsidRPr="007739EF">
        <w:rPr>
          <w:rFonts w:ascii="Times New Roman" w:hAnsi="Times New Roman"/>
        </w:rPr>
        <w:t>sarkopenia</w:t>
      </w:r>
      <w:proofErr w:type="spellEnd"/>
      <w:r w:rsidRPr="007739EF">
        <w:rPr>
          <w:rFonts w:ascii="Times New Roman" w:hAnsi="Times New Roman"/>
        </w:rPr>
        <w:t>.</w:t>
      </w:r>
    </w:p>
    <w:p w:rsidR="007C5657" w:rsidRPr="007739EF" w:rsidRDefault="008E6AD5">
      <w:pPr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Kobiety znajdują się w grupie podwyższonego ryzyka zachorowania na osteoporozę z powodu osiągnięcia niższej szczytowej masy kostnej we wczesnym okresie życia w porównaniu do mężczyzn oraz zachodzących w okresie menopauzalnym zmian hormonalnych, które wpływają na ubytek gęstości mineralnej kości (ang. </w:t>
      </w:r>
      <w:proofErr w:type="spellStart"/>
      <w:r w:rsidRPr="007739EF">
        <w:rPr>
          <w:rFonts w:ascii="Times New Roman" w:hAnsi="Times New Roman"/>
        </w:rPr>
        <w:t>bone</w:t>
      </w:r>
      <w:proofErr w:type="spellEnd"/>
      <w:r w:rsidRPr="007739EF">
        <w:rPr>
          <w:rFonts w:ascii="Times New Roman" w:hAnsi="Times New Roman"/>
        </w:rPr>
        <w:t xml:space="preserve"> </w:t>
      </w:r>
      <w:proofErr w:type="spellStart"/>
      <w:r w:rsidRPr="007739EF">
        <w:rPr>
          <w:rFonts w:ascii="Times New Roman" w:hAnsi="Times New Roman"/>
        </w:rPr>
        <w:t>mineral</w:t>
      </w:r>
      <w:proofErr w:type="spellEnd"/>
      <w:r w:rsidRPr="007739EF">
        <w:rPr>
          <w:rFonts w:ascii="Times New Roman" w:hAnsi="Times New Roman"/>
        </w:rPr>
        <w:t xml:space="preserve"> </w:t>
      </w:r>
      <w:proofErr w:type="spellStart"/>
      <w:r w:rsidRPr="007739EF">
        <w:rPr>
          <w:rFonts w:ascii="Times New Roman" w:hAnsi="Times New Roman"/>
        </w:rPr>
        <w:t>density</w:t>
      </w:r>
      <w:proofErr w:type="spellEnd"/>
      <w:r w:rsidRPr="007739EF">
        <w:rPr>
          <w:rFonts w:ascii="Times New Roman" w:hAnsi="Times New Roman"/>
        </w:rPr>
        <w:t xml:space="preserve">, BMD). U kobiet w okresie okołomenopauzalnym oraz przez kolejnych 10 lat okresu </w:t>
      </w:r>
      <w:proofErr w:type="spellStart"/>
      <w:r w:rsidRPr="007739EF">
        <w:rPr>
          <w:rFonts w:ascii="Times New Roman" w:hAnsi="Times New Roman"/>
        </w:rPr>
        <w:t>pomenopauzalnego</w:t>
      </w:r>
      <w:proofErr w:type="spellEnd"/>
      <w:r w:rsidRPr="007739EF">
        <w:rPr>
          <w:rFonts w:ascii="Times New Roman" w:hAnsi="Times New Roman"/>
        </w:rPr>
        <w:t xml:space="preserve"> ubytek BMD wynosi 2-3% rocznie, po czym w kolejnych latach ulega zmniejszeniu</w:t>
      </w:r>
      <w:r w:rsidRPr="007739EF">
        <w:rPr>
          <w:rStyle w:val="Odwoanieprzypisudolnego"/>
          <w:rFonts w:ascii="Times New Roman" w:hAnsi="Times New Roman"/>
        </w:rPr>
        <w:footnoteReference w:id="6"/>
      </w:r>
      <w:r w:rsidRPr="007739EF">
        <w:rPr>
          <w:rFonts w:ascii="Times New Roman" w:hAnsi="Times New Roman"/>
        </w:rPr>
        <w:t xml:space="preserve">. Menopauzę w dosłownym ujęciu definiuje się jako ostatnie krwawienie miesięczne, mające miejsce zwykle między 45 a 55 rokiem życia w okresie definiowanym jako okołomenopauzalny. Główna zmiana zachodząca na tym etapie życia w organizmie kobiety to stopniowe zmniejszanie się, aż do całkowitego zaniku produkcji estrogenów. Na skutek wymienionych zmian hormonalnych dochodzi do zmniejszenia resorpcji wapnia w przewodzie pokarmowym oraz zwiększenia jego wydalania z moczem, co w konsekwencji prowadzi do obniżenia masy kostnej. Podobny mechanizm zachodzi w związku z ograniczeniem syntezy skórnej witaminy D, upośledzeniem tworzenia jej aktywnych metabolitów w nerkach oraz zmniejszeniem po menopauzie liczby receptorów dla witaminy D w narządach docelowych. Za dodatkowy czynnik generujący wyższe ryzyko występowania osteoporozy u kobiet w wieku </w:t>
      </w:r>
      <w:proofErr w:type="spellStart"/>
      <w:r w:rsidRPr="007739EF">
        <w:rPr>
          <w:rFonts w:ascii="Times New Roman" w:hAnsi="Times New Roman"/>
        </w:rPr>
        <w:t>pomenopauzalnym</w:t>
      </w:r>
      <w:proofErr w:type="spellEnd"/>
      <w:r w:rsidRPr="007739EF">
        <w:rPr>
          <w:rFonts w:ascii="Times New Roman" w:hAnsi="Times New Roman"/>
        </w:rPr>
        <w:t xml:space="preserve"> uważa się zaprzestanie aktywności zawodowej, co w większości przypadków przekłada się na znaczne ograniczenie podejmowania jakiejkolwiek aktywności fizycznej i skutkuje zmniejszeniem wydolności  sprawności układu ruchu</w:t>
      </w:r>
      <w:r w:rsidRPr="007739EF">
        <w:rPr>
          <w:rStyle w:val="Odwoanieprzypisudolnego"/>
          <w:rFonts w:ascii="Times New Roman" w:hAnsi="Times New Roman"/>
        </w:rPr>
        <w:footnoteReference w:id="7"/>
      </w:r>
      <w:r w:rsidRPr="007739EF">
        <w:rPr>
          <w:rFonts w:ascii="Times New Roman" w:hAnsi="Times New Roman"/>
        </w:rPr>
        <w:t xml:space="preserve">.     </w:t>
      </w:r>
    </w:p>
    <w:p w:rsidR="007C5657" w:rsidRPr="007739EF" w:rsidRDefault="008E6AD5">
      <w:pPr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Postępujące obecnie zmiany demograficzne (starzenie się społeczeństw) generują występowanie wyższych wskaźników zapadalności na osteoporozę oraz wzrost liczby świadczeń zdrowotnych udzielanych w związku z tym schorzeniem. Ograniczenie wzrostu kosztów finansowych i społecznych związanych z osteoporozą wymaga podejmowania skutecznych działań zapobiegawczych na poziomie profilaktyki wczesnej, pierwotnej, wtórnej oraz trzeciorzędowej. Profilaktyka wczesna zajmuje się promowaniem </w:t>
      </w:r>
      <w:proofErr w:type="spellStart"/>
      <w:r w:rsidRPr="007739EF">
        <w:rPr>
          <w:rFonts w:ascii="Times New Roman" w:hAnsi="Times New Roman"/>
        </w:rPr>
        <w:t>zachowań</w:t>
      </w:r>
      <w:proofErr w:type="spellEnd"/>
      <w:r w:rsidRPr="007739EF">
        <w:rPr>
          <w:rFonts w:ascii="Times New Roman" w:hAnsi="Times New Roman"/>
        </w:rPr>
        <w:t xml:space="preserve"> sprzyjających uzyskaniu dobrej jakości kości. Profilaktyka pierwotna ma na celu wczesne wykrycie modyfikowalnych czynników ryzyka zachorowania oraz ich eliminację bądź redukcję. Profilaktyka wtórna dąży do możliwie wczesnego rozpoznania choroby i wdrożenia odpowiedniego postępowania terapeutycznego (farmakologicznego i niefarmakologicznego), jeszcze przed wystąpieniem złamań </w:t>
      </w:r>
      <w:proofErr w:type="spellStart"/>
      <w:r w:rsidRPr="007739EF">
        <w:rPr>
          <w:rFonts w:ascii="Times New Roman" w:hAnsi="Times New Roman"/>
        </w:rPr>
        <w:t>osteoporotycznych</w:t>
      </w:r>
      <w:proofErr w:type="spellEnd"/>
      <w:r w:rsidRPr="007739EF">
        <w:rPr>
          <w:rFonts w:ascii="Times New Roman" w:hAnsi="Times New Roman"/>
        </w:rPr>
        <w:t>. Ograniczaniem skutków osteoporozy zajmuje się profilaktyka trzeciorzędowa. W odniesieniu do kobiet w okresie około- i </w:t>
      </w:r>
      <w:proofErr w:type="spellStart"/>
      <w:r w:rsidRPr="007739EF">
        <w:rPr>
          <w:rFonts w:ascii="Times New Roman" w:hAnsi="Times New Roman"/>
        </w:rPr>
        <w:t>pomenopauzalnym</w:t>
      </w:r>
      <w:proofErr w:type="spellEnd"/>
      <w:r w:rsidRPr="007739EF">
        <w:rPr>
          <w:rFonts w:ascii="Times New Roman" w:hAnsi="Times New Roman"/>
        </w:rPr>
        <w:t xml:space="preserve"> bez złamań </w:t>
      </w:r>
      <w:proofErr w:type="spellStart"/>
      <w:r w:rsidRPr="007739EF">
        <w:rPr>
          <w:rFonts w:ascii="Times New Roman" w:hAnsi="Times New Roman"/>
        </w:rPr>
        <w:t>osteoporotycznych</w:t>
      </w:r>
      <w:proofErr w:type="spellEnd"/>
      <w:r w:rsidRPr="007739EF">
        <w:rPr>
          <w:rFonts w:ascii="Times New Roman" w:hAnsi="Times New Roman"/>
        </w:rPr>
        <w:t xml:space="preserve"> w historii choroby zastosowanie ma profilaktyka pierwotna</w:t>
      </w:r>
      <w:r w:rsidRPr="007739EF">
        <w:rPr>
          <w:rStyle w:val="Odwoanieprzypisudolnego"/>
          <w:rFonts w:ascii="Times New Roman" w:hAnsi="Times New Roman"/>
        </w:rPr>
        <w:footnoteReference w:id="8"/>
      </w:r>
      <w:r w:rsidRPr="007739EF">
        <w:rPr>
          <w:rFonts w:ascii="Times New Roman" w:hAnsi="Times New Roman"/>
        </w:rPr>
        <w:t xml:space="preserve">. </w:t>
      </w:r>
    </w:p>
    <w:p w:rsidR="007C5657" w:rsidRPr="007739EF" w:rsidRDefault="008E6AD5">
      <w:pPr>
        <w:spacing w:before="96" w:after="96"/>
        <w:ind w:firstLine="708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 xml:space="preserve">We wszystkich czterech fazach profilaktyki osteoporozy niezwykle istotną rolę odgrywa edukacja pacjenta, definiowana jako edukacja zdrowotna ukierunkowana na osoby korzystające z opieki zdrowotnej, dotycząca uwarunkowań zdrowotnych, ucząca </w:t>
      </w:r>
      <w:proofErr w:type="spellStart"/>
      <w:r w:rsidRPr="007739EF">
        <w:rPr>
          <w:rFonts w:ascii="Times New Roman" w:hAnsi="Times New Roman"/>
        </w:rPr>
        <w:t>zachowań</w:t>
      </w:r>
      <w:proofErr w:type="spellEnd"/>
      <w:r w:rsidRPr="007739EF">
        <w:rPr>
          <w:rFonts w:ascii="Times New Roman" w:hAnsi="Times New Roman"/>
        </w:rPr>
        <w:t xml:space="preserve"> związanych z chorobą oraz sposobów utrzymania zdrowia. Celem edukacji pacjenta jest pomaganie mu w podejmowaniu decyzji dotyczących własnego zdrowia oraz dostarczanie argumentów wskazujących na potrzebę rozwijania pozytywnych postaw wobec zdrowia oraz </w:t>
      </w:r>
      <w:proofErr w:type="spellStart"/>
      <w:r w:rsidRPr="007739EF">
        <w:rPr>
          <w:rFonts w:ascii="Times New Roman" w:hAnsi="Times New Roman"/>
        </w:rPr>
        <w:t>zachowań</w:t>
      </w:r>
      <w:proofErr w:type="spellEnd"/>
      <w:r w:rsidRPr="007739EF">
        <w:rPr>
          <w:rFonts w:ascii="Times New Roman" w:hAnsi="Times New Roman"/>
        </w:rPr>
        <w:t xml:space="preserve"> prozdrowotnych</w:t>
      </w:r>
      <w:r w:rsidRPr="007739EF">
        <w:rPr>
          <w:rStyle w:val="Odwoanieprzypisudolnego"/>
          <w:rFonts w:ascii="Times New Roman" w:hAnsi="Times New Roman"/>
        </w:rPr>
        <w:footnoteReference w:id="9"/>
      </w:r>
      <w:r w:rsidRPr="007739EF">
        <w:rPr>
          <w:rFonts w:ascii="Times New Roman" w:hAnsi="Times New Roman"/>
        </w:rPr>
        <w:t xml:space="preserve">. </w:t>
      </w:r>
    </w:p>
    <w:p w:rsidR="007C5657" w:rsidRPr="007739EF" w:rsidRDefault="008E6AD5">
      <w:pPr>
        <w:spacing w:before="96" w:after="96"/>
        <w:ind w:firstLine="708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W związku z faktem silnego związku między sposobem odżywiania a rozwojem osteoporozy szczególnego znaczenia nabiera edukacja żywieniowa - jeden z kluczowych elementów edukacji zdrowotnej. Celem edukacji żywieniowej w profilaktyce osteoporozy jest zapoznanie pacjenta z podstawowymi zaleceniami żywieniowymi oraz wywołanie u niego zmiany w zakresie sposobu żywienia, która pozwoli na poprawę metabolizmu kostnego. Obok edukacji żywieniowej niezbędne są również regularne i dostosowane do możliwości pacjenta ćwiczenia fizyczne oraz unikanie możliwości upadku</w:t>
      </w:r>
      <w:r w:rsidRPr="007739EF">
        <w:rPr>
          <w:rStyle w:val="Odwoanieprzypisudolnego"/>
          <w:rFonts w:ascii="Times New Roman" w:hAnsi="Times New Roman"/>
        </w:rPr>
        <w:footnoteReference w:id="10"/>
      </w:r>
      <w:r w:rsidRPr="007739EF">
        <w:rPr>
          <w:rFonts w:ascii="Times New Roman" w:hAnsi="Times New Roman"/>
        </w:rPr>
        <w:t>. Skuteczna edukacja żywieniowa pacjentów w zakresie osteoporozy może być realizowana w ramach podstawowej i specjalistycznej opieki zdrowotnej, leczenia szpitalnego, świadczeń opieki długoterminowej, a także w ramach leczenia uzdrowiskowego. Ponadto proces ten może być realizowany w formach pozainstytucjonalnych (edukacja w rodzinie, edukacja realizowana przez mass media).</w:t>
      </w:r>
    </w:p>
    <w:p w:rsidR="007C5657" w:rsidRPr="007739EF" w:rsidRDefault="008E6AD5">
      <w:pPr>
        <w:spacing w:before="96" w:after="96"/>
        <w:ind w:firstLine="708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Osteoporozę jako jednostkę chorobową można rozpoznać po stwierdzeniu zmniejszonej gęstości mineralnej kości (BMD, ang. </w:t>
      </w:r>
      <w:proofErr w:type="spellStart"/>
      <w:r w:rsidRPr="007739EF">
        <w:rPr>
          <w:rFonts w:ascii="Times New Roman" w:hAnsi="Times New Roman"/>
        </w:rPr>
        <w:t>bone</w:t>
      </w:r>
      <w:proofErr w:type="spellEnd"/>
      <w:r w:rsidRPr="007739EF">
        <w:rPr>
          <w:rFonts w:ascii="Times New Roman" w:hAnsi="Times New Roman"/>
        </w:rPr>
        <w:t xml:space="preserve"> </w:t>
      </w:r>
      <w:proofErr w:type="spellStart"/>
      <w:r w:rsidRPr="007739EF">
        <w:rPr>
          <w:rFonts w:ascii="Times New Roman" w:hAnsi="Times New Roman"/>
        </w:rPr>
        <w:t>mineral</w:t>
      </w:r>
      <w:proofErr w:type="spellEnd"/>
      <w:r w:rsidRPr="007739EF">
        <w:rPr>
          <w:rFonts w:ascii="Times New Roman" w:hAnsi="Times New Roman"/>
        </w:rPr>
        <w:t xml:space="preserve"> </w:t>
      </w:r>
      <w:proofErr w:type="spellStart"/>
      <w:r w:rsidRPr="007739EF">
        <w:rPr>
          <w:rFonts w:ascii="Times New Roman" w:hAnsi="Times New Roman"/>
        </w:rPr>
        <w:t>density</w:t>
      </w:r>
      <w:proofErr w:type="spellEnd"/>
      <w:r w:rsidRPr="007739EF">
        <w:rPr>
          <w:rFonts w:ascii="Times New Roman" w:hAnsi="Times New Roman"/>
        </w:rPr>
        <w:t>) – wskaźnik T (ang. 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>) o wartości ≤–2,5 u kobiet po menopauzie oraz mężczyzn w wieku ≥50 lat. U osób młodszych muszą występować dodatkowe czynniki ryzyka i zwykle jest to osteoporoza wtórna. W diagnostyce osteoporozy wskazana jest ocena bezwzględnego dziesięcioletniego ryzyka złamania na podstawie występowania u pacjenta czynników ryzyka złamań</w:t>
      </w:r>
      <w:r w:rsidRPr="007739EF">
        <w:rPr>
          <w:rStyle w:val="Odwoanieprzypisudolnego"/>
          <w:rFonts w:ascii="Times New Roman" w:hAnsi="Times New Roman"/>
        </w:rPr>
        <w:footnoteReference w:id="11"/>
      </w:r>
      <w:r w:rsidRPr="007739EF">
        <w:rPr>
          <w:rFonts w:ascii="Times New Roman" w:hAnsi="Times New Roman"/>
        </w:rPr>
        <w:t xml:space="preserve">. </w:t>
      </w:r>
    </w:p>
    <w:p w:rsidR="007C5657" w:rsidRPr="007739EF" w:rsidRDefault="007C5657">
      <w:pPr>
        <w:tabs>
          <w:tab w:val="left" w:pos="426"/>
        </w:tabs>
        <w:spacing w:before="96" w:after="96"/>
        <w:contextualSpacing/>
        <w:jc w:val="both"/>
        <w:rPr>
          <w:rFonts w:ascii="Times New Roman" w:hAnsi="Times New Roman"/>
          <w:b/>
        </w:rPr>
      </w:pPr>
    </w:p>
    <w:p w:rsidR="007C5657" w:rsidRPr="007739EF" w:rsidRDefault="008E6AD5">
      <w:pPr>
        <w:pStyle w:val="Nagwek2"/>
        <w:spacing w:before="96" w:after="96"/>
        <w:contextualSpacing/>
        <w:rPr>
          <w:rFonts w:ascii="Times New Roman" w:hAnsi="Times New Roman" w:cs="Times New Roman"/>
          <w:szCs w:val="24"/>
        </w:rPr>
      </w:pPr>
      <w:bookmarkStart w:id="3" w:name="_Toc126153307"/>
      <w:r w:rsidRPr="007739EF">
        <w:rPr>
          <w:rFonts w:ascii="Times New Roman" w:hAnsi="Times New Roman" w:cs="Times New Roman"/>
          <w:szCs w:val="24"/>
        </w:rPr>
        <w:t>2. Dane epidemiologiczne</w:t>
      </w:r>
      <w:bookmarkEnd w:id="3"/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  <w:color w:val="4472C4" w:themeColor="accent5"/>
        </w:rPr>
        <w:tab/>
      </w:r>
      <w:r w:rsidRPr="007739EF">
        <w:rPr>
          <w:rFonts w:ascii="Times New Roman" w:hAnsi="Times New Roman"/>
        </w:rPr>
        <w:t xml:space="preserve">Złamania kości dotykają jedną na trzy kobiety i jednego na pięciu mężczyzn w wieku 50 lat lub starszych. W miarę starzenia się ludności Europy, częstość występowania złamań </w:t>
      </w:r>
      <w:proofErr w:type="spellStart"/>
      <w:r w:rsidRPr="007739EF">
        <w:rPr>
          <w:rFonts w:ascii="Times New Roman" w:hAnsi="Times New Roman"/>
        </w:rPr>
        <w:t>osteoporotycznych</w:t>
      </w:r>
      <w:proofErr w:type="spellEnd"/>
      <w:r w:rsidRPr="007739EF">
        <w:rPr>
          <w:rFonts w:ascii="Times New Roman" w:hAnsi="Times New Roman"/>
        </w:rPr>
        <w:t xml:space="preserve"> i udział wydatków na ich leczenie w ogólnych wydatkach na opiekę zdrowotną stale rośnie. Każdego roku, w krajach Unii Europejskiej występuje ok. 2,7 mln złamań, a związane z tym koszty opieki zdrowotnej wynoszą ok. 37 miliardów euro. Przewiduje się, że te roczne wydatki w tym obszarze do 2030 roku wzrosną o 23% (do 47 miliardów euro)</w:t>
      </w:r>
      <w:r w:rsidRPr="007739EF">
        <w:rPr>
          <w:rStyle w:val="Odwoanieprzypisudolnego"/>
          <w:rFonts w:ascii="Times New Roman" w:hAnsi="Times New Roman"/>
        </w:rPr>
        <w:footnoteReference w:id="12"/>
      </w:r>
      <w:r w:rsidRPr="007739EF">
        <w:rPr>
          <w:rFonts w:ascii="Times New Roman" w:hAnsi="Times New Roman"/>
        </w:rPr>
        <w:t xml:space="preserve">. </w:t>
      </w:r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Podkreślenia wymaga fakt, że po złamaniu </w:t>
      </w:r>
      <w:proofErr w:type="spellStart"/>
      <w:r w:rsidRPr="007739EF">
        <w:rPr>
          <w:rFonts w:ascii="Times New Roman" w:hAnsi="Times New Roman"/>
        </w:rPr>
        <w:t>osteoporotycznym</w:t>
      </w:r>
      <w:proofErr w:type="spellEnd"/>
      <w:r w:rsidRPr="007739EF">
        <w:rPr>
          <w:rFonts w:ascii="Times New Roman" w:hAnsi="Times New Roman"/>
        </w:rPr>
        <w:t xml:space="preserve">, pacjenci są pięciokrotnie bardziej narażeni na wystąpienie drugiego złamania w ciągu następnych 2 lat. Pomimo tego, 60-85% kobiet powyżej 50 roku życia z osteoporozą nie otrzymuje żadnego leczenia. Ta ogromna luka w systemie diagnozowania osteoporozy, która jest obserwowana </w:t>
      </w:r>
      <w:r w:rsidRPr="007739EF">
        <w:rPr>
          <w:rFonts w:ascii="Times New Roman" w:hAnsi="Times New Roman"/>
        </w:rPr>
        <w:lastRenderedPageBreak/>
        <w:t xml:space="preserve">we wszystkich regionach geograficznych, odzwierciedla niewielką wagę, jaką przywiązywano do tej pory do złamań </w:t>
      </w:r>
      <w:proofErr w:type="spellStart"/>
      <w:r w:rsidRPr="007739EF">
        <w:rPr>
          <w:rFonts w:ascii="Times New Roman" w:hAnsi="Times New Roman"/>
        </w:rPr>
        <w:t>osteoporotycznych</w:t>
      </w:r>
      <w:proofErr w:type="spellEnd"/>
      <w:r w:rsidRPr="007739EF">
        <w:rPr>
          <w:rFonts w:ascii="Times New Roman" w:hAnsi="Times New Roman"/>
        </w:rPr>
        <w:t>. Przewidywany wzrost liczby złamań, o czym mowa w poprzednim akapicie, wymaga podjęcia natychmiastowych działań celem położenia kresu tragicznym konsekwencjom złamań dla pacjentów</w:t>
      </w:r>
      <w:r w:rsidRPr="007739EF">
        <w:rPr>
          <w:rStyle w:val="Odwoanieprzypisudolnego"/>
          <w:rFonts w:ascii="Times New Roman" w:hAnsi="Times New Roman"/>
        </w:rPr>
        <w:footnoteReference w:id="13"/>
      </w:r>
      <w:r w:rsidRPr="007739EF">
        <w:rPr>
          <w:rFonts w:ascii="Times New Roman" w:hAnsi="Times New Roman"/>
        </w:rPr>
        <w:t>.</w:t>
      </w:r>
    </w:p>
    <w:p w:rsidR="007C5657" w:rsidRPr="007739EF" w:rsidRDefault="008E6AD5">
      <w:pPr>
        <w:spacing w:before="96" w:after="96"/>
        <w:ind w:firstLine="708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Samo ryzyko złamań w poszczególnych krajach i grupach etnicznych może się znacznie różnić. Złamania związane z osteoporozą dotyczą najczęściej złamania kręgu, bliższego końca kości udowej lub kości przedramienia. W oparciu o kryteria diagnostyczne WHO (wskaźnik 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 xml:space="preserve"> ≤–2,5), szacuje się, że ok. 22 mln kobiet i 5,5 mln mężczyzn w wieku od 50 do 84 lat w UE cierpi na osteoporozę. Z prognoz wynika, że w związku ze zmianami demograficznymi, do 2025 roku liczba ta wzrośnie o 23% sięgając 33,9 mln osób</w:t>
      </w:r>
      <w:r w:rsidRPr="007739EF">
        <w:rPr>
          <w:rStyle w:val="Odwoanieprzypisudolnego"/>
          <w:rFonts w:ascii="Times New Roman" w:hAnsi="Times New Roman"/>
        </w:rPr>
        <w:footnoteReference w:id="14"/>
      </w:r>
      <w:r w:rsidRPr="007739EF">
        <w:rPr>
          <w:rFonts w:ascii="Times New Roman" w:hAnsi="Times New Roman"/>
        </w:rPr>
        <w:t>.</w:t>
      </w:r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Zgodnie z badaniami WHO oraz SCOPE w krajach Unii Europejskiej w populacji w wieku powyżej 50 lat osteoporoza występuje u 22,1% kobiet oraz 6,6% mężczyzn</w:t>
      </w:r>
      <w:r w:rsidRPr="007739EF">
        <w:rPr>
          <w:rStyle w:val="Odwoanieprzypisudolnego"/>
          <w:rFonts w:ascii="Times New Roman" w:hAnsi="Times New Roman"/>
        </w:rPr>
        <w:footnoteReference w:id="15"/>
      </w:r>
      <w:r w:rsidRPr="007739EF">
        <w:rPr>
          <w:rFonts w:ascii="Times New Roman" w:hAnsi="Times New Roman"/>
        </w:rPr>
        <w:t xml:space="preserve">. Bazując na mapach potrzeb zdrowotnych (MPZ) w zakresie chorób układu kostno-mięśniowego, biorąc pod uwagę obserwowaną w 2016 liczbę chorych – ok. 606 tys. (osoby w wieku powyżej 50. r.ż. z rozpoznaniem osteoporozy), teoretyczną liczbę chorych – ok. 2 158 tys. (estymowaną jako wskazany przez WHO procent populacji powyżej 50. r.ż.), stopień wykrywalności osteoporozy definiowany jako stosunek liczby </w:t>
      </w:r>
      <w:proofErr w:type="spellStart"/>
      <w:r w:rsidRPr="007739EF">
        <w:rPr>
          <w:rFonts w:ascii="Times New Roman" w:hAnsi="Times New Roman"/>
        </w:rPr>
        <w:t>zachorowań</w:t>
      </w:r>
      <w:proofErr w:type="spellEnd"/>
      <w:r w:rsidRPr="007739EF">
        <w:rPr>
          <w:rFonts w:ascii="Times New Roman" w:hAnsi="Times New Roman"/>
        </w:rPr>
        <w:t xml:space="preserve"> zarejestrowanych do teoretycznych wynosi 28,1%.</w:t>
      </w:r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Gminę Kłodawa zamieszkuje 2 740 kobiet powyżej 50 roku życia oraz 2 215 mężczyzn w tym wieku</w:t>
      </w:r>
      <w:r w:rsidRPr="007739EF">
        <w:rPr>
          <w:rStyle w:val="Odwoanieprzypisudolnego"/>
          <w:rFonts w:ascii="Times New Roman" w:hAnsi="Times New Roman"/>
        </w:rPr>
        <w:footnoteReference w:id="16"/>
      </w:r>
      <w:r w:rsidRPr="007739EF">
        <w:rPr>
          <w:rFonts w:ascii="Times New Roman" w:hAnsi="Times New Roman"/>
        </w:rPr>
        <w:t>. Teoretyczna liczba chorych na osteoporozę, estymowana jako wskazany przez WHO procent populacji powyżej 50. r.ż., wynosi ok. 600 kobiet oraz ok. 145 mężczyzn.</w:t>
      </w:r>
    </w:p>
    <w:p w:rsidR="007C5657" w:rsidRPr="007739EF" w:rsidRDefault="007C5657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 </w:t>
      </w:r>
    </w:p>
    <w:p w:rsidR="007C5657" w:rsidRPr="007739EF" w:rsidRDefault="007C5657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</w:rPr>
      </w:pPr>
    </w:p>
    <w:p w:rsidR="007C5657" w:rsidRPr="007739EF" w:rsidRDefault="008E6AD5">
      <w:pPr>
        <w:pStyle w:val="Nagwek2"/>
        <w:spacing w:before="96" w:after="96"/>
        <w:contextualSpacing/>
        <w:rPr>
          <w:rFonts w:ascii="Times New Roman" w:hAnsi="Times New Roman" w:cs="Times New Roman"/>
          <w:szCs w:val="24"/>
        </w:rPr>
      </w:pPr>
      <w:bookmarkStart w:id="4" w:name="_Toc126153308"/>
      <w:r w:rsidRPr="007739EF">
        <w:rPr>
          <w:rFonts w:ascii="Times New Roman" w:hAnsi="Times New Roman" w:cs="Times New Roman"/>
          <w:szCs w:val="24"/>
        </w:rPr>
        <w:t>3. Opis obecnego postępowania</w:t>
      </w:r>
      <w:bookmarkEnd w:id="4"/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Ocena 10-letniego ryzyka złamań przy zastosowaniu narzędzia FRAX nie jest obecnie dostępna w ramach świadczeń finansowanych przez Narodowy Fundusz Zdrowia. W ramach świadczeń gwarantowanych w ramach ambulatoryjnej opieki specjalistycznej (AOS) realizowana jest „Porada specjalistyczna – leczenie osteoporozy”. W ramach ww. porady realizowane są badania densytometryczna DXA kręgosłupa i kości udowej, badania laboratoryjne i mikrobiologiczne, USG oraz RTG</w:t>
      </w:r>
      <w:r w:rsidRPr="007739EF">
        <w:rPr>
          <w:rStyle w:val="Odwoanieprzypisudolnego"/>
          <w:rFonts w:ascii="Times New Roman" w:hAnsi="Times New Roman"/>
        </w:rPr>
        <w:footnoteReference w:id="17"/>
      </w:r>
      <w:r w:rsidRPr="007739EF">
        <w:rPr>
          <w:rFonts w:ascii="Times New Roman" w:hAnsi="Times New Roman"/>
        </w:rPr>
        <w:t>.</w:t>
      </w:r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Na poziomie ogólnopolskim realizowany jest Program Koordynacji Profilaktyki Złamań </w:t>
      </w:r>
      <w:proofErr w:type="spellStart"/>
      <w:r w:rsidRPr="007739EF">
        <w:rPr>
          <w:rFonts w:ascii="Times New Roman" w:hAnsi="Times New Roman"/>
        </w:rPr>
        <w:t>Osteoporotycznych</w:t>
      </w:r>
      <w:proofErr w:type="spellEnd"/>
      <w:r w:rsidRPr="007739EF">
        <w:rPr>
          <w:rFonts w:ascii="Times New Roman" w:hAnsi="Times New Roman"/>
        </w:rPr>
        <w:t xml:space="preserve"> na lata 2017-2023. Celem głównym programu jest wdrożenie w ośrodkach uczestniczących w programie skoordynowanego systemu wczesnej identyfikacji </w:t>
      </w:r>
      <w:r w:rsidRPr="007739EF">
        <w:rPr>
          <w:rFonts w:ascii="Times New Roman" w:hAnsi="Times New Roman"/>
        </w:rPr>
        <w:lastRenderedPageBreak/>
        <w:t>kobiet w wieku 50-70 lat zagrożonych złamaniami niskoenergetycznymi oraz chorych z już dokonanymi złamaniami i kierowania ich do właściwych ośrodków zajmujących się diagnostyką, prewencją i leczeniem osteoporozy</w:t>
      </w:r>
      <w:r w:rsidRPr="007739EF">
        <w:rPr>
          <w:rStyle w:val="Odwoanieprzypisudolnego"/>
          <w:rFonts w:ascii="Times New Roman" w:hAnsi="Times New Roman"/>
        </w:rPr>
        <w:footnoteReference w:id="18"/>
      </w:r>
      <w:r w:rsidRPr="007739EF">
        <w:rPr>
          <w:rFonts w:ascii="Times New Roman" w:hAnsi="Times New Roman"/>
        </w:rPr>
        <w:t>. Zaplanowany w Gminie Kłodawa program nie spowoduje powielania świadczeń zdrowotnych, ponieważ wśród realizatorów ww. programu ogólnopolskiego nie ma żadnego podmiotu leczniczego z terenu województwa wielkopolskiego</w:t>
      </w:r>
      <w:r w:rsidRPr="007739EF">
        <w:rPr>
          <w:rStyle w:val="Odwoanieprzypisudolnego"/>
          <w:rFonts w:ascii="Times New Roman" w:hAnsi="Times New Roman"/>
        </w:rPr>
        <w:footnoteReference w:id="19"/>
      </w:r>
      <w:r w:rsidRPr="007739EF">
        <w:rPr>
          <w:rFonts w:ascii="Times New Roman" w:hAnsi="Times New Roman"/>
        </w:rPr>
        <w:t>. Ponadto niniejszy program interwencje w postaci badań przesiewowych kieruje nie tylko do kobiet, jak ma to miejsce w programie ogólnopolskim, ale do przedstawicieli obojga płci.</w:t>
      </w:r>
    </w:p>
    <w:p w:rsidR="007C5657" w:rsidRPr="007739EF" w:rsidRDefault="007C5657">
      <w:pPr>
        <w:pStyle w:val="Akapitzlist"/>
        <w:spacing w:before="96" w:after="96"/>
        <w:ind w:left="0"/>
        <w:jc w:val="both"/>
        <w:rPr>
          <w:rFonts w:ascii="Times New Roman" w:hAnsi="Times New Roman"/>
        </w:rPr>
      </w:pPr>
    </w:p>
    <w:p w:rsidR="007C5657" w:rsidRPr="007739EF" w:rsidRDefault="008E6AD5">
      <w:pPr>
        <w:pStyle w:val="Nagwek2"/>
        <w:spacing w:before="96" w:after="96"/>
        <w:contextualSpacing/>
        <w:rPr>
          <w:rFonts w:ascii="Times New Roman" w:hAnsi="Times New Roman" w:cs="Times New Roman"/>
          <w:szCs w:val="24"/>
        </w:rPr>
      </w:pPr>
      <w:bookmarkStart w:id="5" w:name="_Toc126153309"/>
      <w:r w:rsidRPr="007739EF">
        <w:rPr>
          <w:rFonts w:ascii="Times New Roman" w:hAnsi="Times New Roman" w:cs="Times New Roman"/>
          <w:szCs w:val="24"/>
        </w:rPr>
        <w:t>4. Uzasadnienie potrzeby wdrożenia programu:</w:t>
      </w:r>
      <w:bookmarkEnd w:id="5"/>
    </w:p>
    <w:p w:rsidR="007C5657" w:rsidRPr="007739EF" w:rsidRDefault="008E6AD5">
      <w:pPr>
        <w:spacing w:before="96" w:after="96"/>
        <w:ind w:firstLine="851"/>
        <w:contextualSpacing/>
        <w:jc w:val="both"/>
        <w:rPr>
          <w:rFonts w:ascii="Times New Roman" w:hAnsi="Times New Roman"/>
          <w:color w:val="4472C4" w:themeColor="accent5"/>
        </w:rPr>
      </w:pPr>
      <w:r w:rsidRPr="007739EF">
        <w:rPr>
          <w:rFonts w:ascii="Times New Roman" w:hAnsi="Times New Roman"/>
        </w:rPr>
        <w:t>W obliczu zachodzących obecnie zmian demograficznych podejmowanie działań zapobiegawczych w odniesieniu do osteoporozy jest niezbędne i ma na celu ograniczenie zarówno kosztów ponoszonych przez samych pacjentów, jak i przez systemy ochrony zdrowia. Profilaktyka pierwotna kierowana do szczególnej grupy ryzyka zachorowania na osteoporozę, jaką są kobiety w okresie około- i </w:t>
      </w:r>
      <w:proofErr w:type="spellStart"/>
      <w:r w:rsidRPr="007739EF">
        <w:rPr>
          <w:rFonts w:ascii="Times New Roman" w:hAnsi="Times New Roman"/>
        </w:rPr>
        <w:t>pomenopauzalnym</w:t>
      </w:r>
      <w:proofErr w:type="spellEnd"/>
      <w:r w:rsidRPr="007739EF">
        <w:rPr>
          <w:rFonts w:ascii="Times New Roman" w:hAnsi="Times New Roman"/>
        </w:rPr>
        <w:t xml:space="preserve"> oraz starsi mężczyźni, powinna być realizowana we współpracy przedstawicieli zawodów medycznych na różnych szczeblach i skupiać się na wywoływaniu u pacjentek pozytywnych zmian </w:t>
      </w:r>
      <w:proofErr w:type="spellStart"/>
      <w:r w:rsidRPr="007739EF">
        <w:rPr>
          <w:rFonts w:ascii="Times New Roman" w:hAnsi="Times New Roman"/>
        </w:rPr>
        <w:t>zachowań</w:t>
      </w:r>
      <w:proofErr w:type="spellEnd"/>
      <w:r w:rsidRPr="007739EF">
        <w:rPr>
          <w:rFonts w:ascii="Times New Roman" w:hAnsi="Times New Roman"/>
        </w:rPr>
        <w:t xml:space="preserve"> zarówno w zakresie sposobu żywienia, jak i podejmowania aktywności fizycznej. Realizacja edukacji zdrowotnej nabiera szczególnego znaczenia w obliczu faktu uciążliwego przebiegu i nieuleczalności osteoporozy.</w:t>
      </w:r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Zgodnie z danymi Narodowego Funduszu Zdrowia, obecnie na terenie Gminy Kłodawa nie funkcjonują poradnie leczenia osteoporozy, które realizowałyby świadczenia w ramach środków NFZ</w:t>
      </w:r>
      <w:r w:rsidRPr="007739EF">
        <w:rPr>
          <w:rStyle w:val="Odwoanieprzypisudolnego"/>
          <w:rFonts w:ascii="Times New Roman" w:hAnsi="Times New Roman"/>
        </w:rPr>
        <w:footnoteReference w:id="20"/>
      </w:r>
      <w:r w:rsidRPr="007739EF">
        <w:rPr>
          <w:rFonts w:ascii="Times New Roman" w:hAnsi="Times New Roman"/>
        </w:rPr>
        <w:t>. W całym województwie wielkopolskim są jedynie 2 tego typu placówki – w Koninie i Przeźmierowie. Uważa się, iż niwelowanie barier w dostępie do gwarantowanych w programie świadczeń pozwoli na zwiększenie efektywności działań w zakresie profilaktyki osteoporozy.</w:t>
      </w:r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Zaplanowany program wpisuje się w krajowe i lokalne strategie zdrowotne, ponieważ jego zakres jest zgodny z:</w:t>
      </w:r>
    </w:p>
    <w:p w:rsidR="007C5657" w:rsidRPr="007739EF" w:rsidRDefault="008E6AD5">
      <w:pPr>
        <w:pStyle w:val="Akapitzlist"/>
        <w:numPr>
          <w:ilvl w:val="0"/>
          <w:numId w:val="5"/>
        </w:numPr>
        <w:tabs>
          <w:tab w:val="left" w:pos="567"/>
        </w:tabs>
        <w:spacing w:before="96" w:after="96"/>
        <w:ind w:left="567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Strategią Zdrowa Przyszłość Ramy Strategiczne Rozwoju Systemu Ochrony Zdrowia na lata 2021–2027, z perspektywą do 2030r.</w:t>
      </w:r>
      <w:r w:rsidRPr="007739EF">
        <w:rPr>
          <w:rStyle w:val="Odwoanieprzypisudolnego"/>
          <w:rFonts w:ascii="Times New Roman" w:hAnsi="Times New Roman"/>
        </w:rPr>
        <w:footnoteReference w:id="21"/>
      </w:r>
      <w:r w:rsidRPr="007739EF">
        <w:rPr>
          <w:rFonts w:ascii="Times New Roman" w:hAnsi="Times New Roman"/>
        </w:rPr>
        <w:t>; Obszar Pacjent Cel 1.4 [Zdrowie publiczne] Rozwój profilaktyki, skuteczna promocja zdrowia i postaw prozdrowotnych;</w:t>
      </w:r>
    </w:p>
    <w:p w:rsidR="007C5657" w:rsidRPr="007739EF" w:rsidRDefault="008E6AD5">
      <w:pPr>
        <w:pStyle w:val="Akapitzlist"/>
        <w:numPr>
          <w:ilvl w:val="0"/>
          <w:numId w:val="5"/>
        </w:numPr>
        <w:tabs>
          <w:tab w:val="left" w:pos="567"/>
        </w:tabs>
        <w:spacing w:before="96" w:after="96"/>
        <w:ind w:left="567" w:hanging="283"/>
        <w:jc w:val="both"/>
        <w:rPr>
          <w:rFonts w:ascii="Times New Roman" w:hAnsi="Times New Roman"/>
          <w:i/>
        </w:rPr>
      </w:pPr>
      <w:r w:rsidRPr="007739EF">
        <w:rPr>
          <w:rFonts w:ascii="Times New Roman" w:hAnsi="Times New Roman"/>
        </w:rPr>
        <w:t>Priorytetami zdrowotnymi określonymi Rozporządzeniem Ministra Zdrowia z dnia 27 lutego 2018 r. w sprawie priorytetów zdrowotnych</w:t>
      </w:r>
      <w:r w:rsidRPr="007739EF">
        <w:rPr>
          <w:rStyle w:val="Odwoanieprzypisudolnego"/>
          <w:rFonts w:ascii="Times New Roman" w:hAnsi="Times New Roman"/>
        </w:rPr>
        <w:footnoteReference w:id="22"/>
      </w:r>
      <w:r w:rsidRPr="007739EF">
        <w:rPr>
          <w:rFonts w:ascii="Times New Roman" w:hAnsi="Times New Roman"/>
        </w:rPr>
        <w:t xml:space="preserve">: </w:t>
      </w:r>
      <w:r w:rsidRPr="007739EF">
        <w:rPr>
          <w:rFonts w:ascii="Times New Roman" w:hAnsi="Times New Roman"/>
          <w:i/>
        </w:rPr>
        <w:t>priorytet 2: Rehabilitacja; priorytet 10: zwiększenie koordynacji opieki nad pacjentami starszymi, niepełnosprawnymi oraz niesamodzielnymi;</w:t>
      </w:r>
    </w:p>
    <w:p w:rsidR="007C5657" w:rsidRPr="007739EF" w:rsidRDefault="008E6AD5">
      <w:pPr>
        <w:pStyle w:val="Akapitzlist"/>
        <w:numPr>
          <w:ilvl w:val="1"/>
          <w:numId w:val="6"/>
        </w:numPr>
        <w:spacing w:before="40" w:after="40"/>
        <w:ind w:left="567" w:hanging="283"/>
        <w:jc w:val="both"/>
        <w:rPr>
          <w:rFonts w:ascii="Times New Roman" w:hAnsi="Times New Roman"/>
          <w:i/>
        </w:rPr>
      </w:pPr>
      <w:r w:rsidRPr="007739EF">
        <w:rPr>
          <w:rFonts w:ascii="Times New Roman" w:hAnsi="Times New Roman"/>
        </w:rPr>
        <w:lastRenderedPageBreak/>
        <w:t>Narodowym Programem Zdrowia na lata 2021-2025</w:t>
      </w:r>
      <w:r w:rsidRPr="007739EF">
        <w:rPr>
          <w:rStyle w:val="Odwoanieprzypisudolnego"/>
          <w:rFonts w:ascii="Times New Roman" w:hAnsi="Times New Roman"/>
        </w:rPr>
        <w:footnoteReference w:id="23"/>
      </w:r>
      <w:r w:rsidRPr="007739EF">
        <w:rPr>
          <w:rFonts w:ascii="Times New Roman" w:hAnsi="Times New Roman"/>
        </w:rPr>
        <w:t xml:space="preserve">: </w:t>
      </w:r>
      <w:r w:rsidRPr="007739EF">
        <w:rPr>
          <w:rFonts w:ascii="Times New Roman" w:hAnsi="Times New Roman"/>
          <w:i/>
        </w:rPr>
        <w:t>Cel operacyjny 5</w:t>
      </w:r>
      <w:r w:rsidRPr="007739EF">
        <w:rPr>
          <w:rFonts w:ascii="Times New Roman" w:hAnsi="Times New Roman"/>
        </w:rPr>
        <w:t>: </w:t>
      </w:r>
      <w:r w:rsidRPr="007739EF">
        <w:rPr>
          <w:rFonts w:ascii="Times New Roman" w:hAnsi="Times New Roman"/>
          <w:i/>
        </w:rPr>
        <w:t>Wyzwania demograficzne;</w:t>
      </w:r>
    </w:p>
    <w:p w:rsidR="007C5657" w:rsidRPr="007739EF" w:rsidRDefault="008E6AD5">
      <w:pPr>
        <w:pStyle w:val="Akapitzlist"/>
        <w:numPr>
          <w:ilvl w:val="0"/>
          <w:numId w:val="6"/>
        </w:numPr>
        <w:spacing w:before="40" w:after="40"/>
        <w:ind w:left="567" w:hanging="283"/>
        <w:jc w:val="both"/>
        <w:rPr>
          <w:rFonts w:ascii="Times New Roman" w:hAnsi="Times New Roman"/>
          <w:i/>
        </w:rPr>
      </w:pPr>
      <w:r w:rsidRPr="007739EF">
        <w:rPr>
          <w:rFonts w:ascii="Times New Roman" w:hAnsi="Times New Roman"/>
        </w:rPr>
        <w:t>Mapami Potrzeb Zdrowotnych  na okres 2022-2026</w:t>
      </w:r>
      <w:r w:rsidRPr="007739EF">
        <w:rPr>
          <w:rStyle w:val="Odwoanieprzypisudolnego"/>
          <w:rFonts w:ascii="Times New Roman" w:hAnsi="Times New Roman"/>
        </w:rPr>
        <w:footnoteReference w:id="24"/>
      </w:r>
      <w:r w:rsidRPr="007739EF">
        <w:rPr>
          <w:rFonts w:ascii="Times New Roman" w:hAnsi="Times New Roman"/>
        </w:rPr>
        <w:t>;</w:t>
      </w:r>
    </w:p>
    <w:p w:rsidR="007C5657" w:rsidRPr="007739EF" w:rsidRDefault="008E6AD5">
      <w:pPr>
        <w:pStyle w:val="Akapitzlist"/>
        <w:numPr>
          <w:ilvl w:val="1"/>
          <w:numId w:val="6"/>
        </w:numPr>
        <w:spacing w:before="40" w:after="40"/>
        <w:ind w:left="567"/>
        <w:jc w:val="both"/>
        <w:rPr>
          <w:rFonts w:ascii="Times New Roman" w:hAnsi="Times New Roman"/>
          <w:i/>
        </w:rPr>
      </w:pPr>
      <w:r w:rsidRPr="007739EF">
        <w:rPr>
          <w:rStyle w:val="Pogrubienie"/>
          <w:rFonts w:ascii="Times New Roman" w:hAnsi="Times New Roman"/>
          <w:b w:val="0"/>
          <w:bCs w:val="0"/>
        </w:rPr>
        <w:t>Wojewódzkim planem transformacji województwa wielkopolskiego na lata 2022-2026</w:t>
      </w:r>
      <w:r w:rsidRPr="007739EF">
        <w:rPr>
          <w:rStyle w:val="Odwoanieprzypisudolnego"/>
          <w:rFonts w:ascii="Times New Roman" w:hAnsi="Times New Roman"/>
          <w:b/>
          <w:bCs/>
        </w:rPr>
        <w:footnoteReference w:id="25"/>
      </w:r>
      <w:r w:rsidRPr="007739EF">
        <w:rPr>
          <w:rStyle w:val="Pogrubienie"/>
          <w:rFonts w:ascii="Times New Roman" w:hAnsi="Times New Roman"/>
          <w:b w:val="0"/>
          <w:bCs w:val="0"/>
        </w:rPr>
        <w:t>:</w:t>
      </w:r>
      <w:r w:rsidRPr="007739EF">
        <w:rPr>
          <w:rStyle w:val="Pogrubienie"/>
          <w:rFonts w:ascii="Times New Roman" w:hAnsi="Times New Roman"/>
        </w:rPr>
        <w:t xml:space="preserve"> </w:t>
      </w:r>
      <w:r w:rsidRPr="007739EF">
        <w:rPr>
          <w:rFonts w:ascii="Times New Roman" w:hAnsi="Times New Roman"/>
          <w:i/>
        </w:rPr>
        <w:t>Obszar działań czynniki ryzyka i profilaktyka – Realizacja programów profilaktycznych oraz programów polityki zdrowotnej w obszarach priorytetowych z uwagi na epidemiologię.</w:t>
      </w:r>
    </w:p>
    <w:p w:rsidR="007C5657" w:rsidRPr="007739EF" w:rsidRDefault="008E6AD5">
      <w:pPr>
        <w:tabs>
          <w:tab w:val="left" w:pos="1470"/>
        </w:tabs>
        <w:spacing w:before="96" w:after="96"/>
        <w:contextualSpacing/>
        <w:rPr>
          <w:rFonts w:ascii="Times New Roman" w:hAnsi="Times New Roman"/>
        </w:rPr>
        <w:sectPr w:rsidR="007C5657" w:rsidRPr="007739E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7739EF">
        <w:rPr>
          <w:rFonts w:ascii="Times New Roman" w:hAnsi="Times New Roman"/>
        </w:rPr>
        <w:tab/>
      </w:r>
    </w:p>
    <w:p w:rsidR="007C5657" w:rsidRPr="007739EF" w:rsidRDefault="008E6AD5">
      <w:pPr>
        <w:pStyle w:val="Nagwek1"/>
        <w:spacing w:before="96" w:after="96"/>
        <w:rPr>
          <w:rFonts w:ascii="Times New Roman" w:hAnsi="Times New Roman"/>
          <w:szCs w:val="24"/>
          <w:lang w:val="pl-PL"/>
        </w:rPr>
      </w:pPr>
      <w:bookmarkStart w:id="6" w:name="_Toc126153310"/>
      <w:r w:rsidRPr="007739EF">
        <w:rPr>
          <w:rFonts w:ascii="Times New Roman" w:hAnsi="Times New Roman"/>
          <w:szCs w:val="24"/>
          <w:lang w:val="pl-PL"/>
        </w:rPr>
        <w:lastRenderedPageBreak/>
        <w:t>II. Cele programu polityki zdrowotnej i mierniki efektywności jego realizacji</w:t>
      </w:r>
      <w:bookmarkEnd w:id="6"/>
    </w:p>
    <w:p w:rsidR="007C5657" w:rsidRPr="007739EF" w:rsidRDefault="007C5657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  <w:b/>
        </w:rPr>
      </w:pPr>
    </w:p>
    <w:p w:rsidR="007C5657" w:rsidRPr="007739EF" w:rsidRDefault="008E6AD5">
      <w:pPr>
        <w:pStyle w:val="Nagwek2"/>
        <w:spacing w:before="96" w:after="96"/>
        <w:contextualSpacing/>
        <w:rPr>
          <w:rFonts w:ascii="Times New Roman" w:hAnsi="Times New Roman" w:cs="Times New Roman"/>
          <w:szCs w:val="24"/>
        </w:rPr>
      </w:pPr>
      <w:bookmarkStart w:id="7" w:name="_Toc126153311"/>
      <w:r w:rsidRPr="007739EF">
        <w:rPr>
          <w:rFonts w:ascii="Times New Roman" w:hAnsi="Times New Roman" w:cs="Times New Roman"/>
          <w:szCs w:val="24"/>
        </w:rPr>
        <w:t>1. Cel główny:</w:t>
      </w:r>
      <w:bookmarkEnd w:id="7"/>
    </w:p>
    <w:p w:rsidR="007C5657" w:rsidRPr="007739EF" w:rsidRDefault="008E6AD5">
      <w:pPr>
        <w:tabs>
          <w:tab w:val="left" w:pos="851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Uzyskanie lub utrzymanie wysokiego poziomu wiedzy z zakresu profilaktyki osteoporozy oraz zapobiegania złamaniom </w:t>
      </w:r>
      <w:proofErr w:type="spellStart"/>
      <w:r w:rsidRPr="007739EF">
        <w:rPr>
          <w:rFonts w:ascii="Times New Roman" w:hAnsi="Times New Roman"/>
        </w:rPr>
        <w:t>osteoporotycznym</w:t>
      </w:r>
      <w:proofErr w:type="spellEnd"/>
      <w:r w:rsidRPr="007739EF">
        <w:rPr>
          <w:rFonts w:ascii="Times New Roman" w:hAnsi="Times New Roman"/>
        </w:rPr>
        <w:t>, obejmującej zagadnienia teoretyczne i praktyczne, wśród co najmniej 60%* uczestników programu.</w:t>
      </w:r>
    </w:p>
    <w:p w:rsidR="007C5657" w:rsidRPr="007739EF" w:rsidRDefault="007C5657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</w:rPr>
      </w:pPr>
    </w:p>
    <w:p w:rsidR="007C5657" w:rsidRPr="007739EF" w:rsidRDefault="008E6AD5">
      <w:pPr>
        <w:pStyle w:val="Nagwek2"/>
        <w:spacing w:before="96" w:after="96"/>
        <w:contextualSpacing/>
        <w:rPr>
          <w:rFonts w:ascii="Times New Roman" w:hAnsi="Times New Roman" w:cs="Times New Roman"/>
          <w:szCs w:val="24"/>
        </w:rPr>
      </w:pPr>
      <w:bookmarkStart w:id="8" w:name="_Toc126153312"/>
      <w:r w:rsidRPr="007739EF">
        <w:rPr>
          <w:rFonts w:ascii="Times New Roman" w:hAnsi="Times New Roman" w:cs="Times New Roman"/>
          <w:szCs w:val="24"/>
        </w:rPr>
        <w:t>2. Cele szczegółowe:</w:t>
      </w:r>
      <w:bookmarkEnd w:id="8"/>
    </w:p>
    <w:p w:rsidR="007C5657" w:rsidRPr="007739EF" w:rsidRDefault="008E6AD5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1) Uzyskanie lub utrzymanie wysokiego poziomu wiedzy teoretycznej i praktycznej wśród 60%* personelu medycznego w zakresie w zakresie profilaktyki pierwotnej, diagnozowania, różnicowania i leczenia osteoporozy oraz zapobiegania złamaniom </w:t>
      </w:r>
      <w:proofErr w:type="spellStart"/>
      <w:r w:rsidRPr="007739EF">
        <w:rPr>
          <w:rFonts w:ascii="Times New Roman" w:hAnsi="Times New Roman"/>
        </w:rPr>
        <w:t>osteoporotycznym</w:t>
      </w:r>
      <w:proofErr w:type="spellEnd"/>
      <w:r w:rsidRPr="007739EF">
        <w:rPr>
          <w:rFonts w:ascii="Times New Roman" w:hAnsi="Times New Roman"/>
        </w:rPr>
        <w:t xml:space="preserve"> i upadkom.</w:t>
      </w:r>
    </w:p>
    <w:p w:rsidR="007C5657" w:rsidRPr="007739EF" w:rsidRDefault="008E6AD5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2) Uzyskanie lub utrzymanie wysokiego poziomu wiedzy teoretycznej i praktycznej wśród 60%* świadczeniobiorców w zakresie profilaktyki pierwotnej osteoporozy, zapobiegania upadkom oraz postępowania w sytuacji podwyższonego zagrożenia złamaniami </w:t>
      </w:r>
      <w:proofErr w:type="spellStart"/>
      <w:r w:rsidRPr="007739EF">
        <w:rPr>
          <w:rFonts w:ascii="Times New Roman" w:hAnsi="Times New Roman"/>
        </w:rPr>
        <w:t>osteoporotycznymi</w:t>
      </w:r>
      <w:proofErr w:type="spellEnd"/>
      <w:r w:rsidRPr="007739EF">
        <w:rPr>
          <w:rFonts w:ascii="Times New Roman" w:hAnsi="Times New Roman"/>
        </w:rPr>
        <w:t>.</w:t>
      </w:r>
    </w:p>
    <w:p w:rsidR="007C5657" w:rsidRPr="007739EF" w:rsidRDefault="007C5657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  <w:b/>
        </w:rPr>
      </w:pPr>
    </w:p>
    <w:p w:rsidR="007C5657" w:rsidRPr="007739EF" w:rsidRDefault="008E6AD5">
      <w:pPr>
        <w:pStyle w:val="Nagwek2"/>
        <w:spacing w:before="96" w:after="96"/>
        <w:contextualSpacing/>
        <w:rPr>
          <w:rFonts w:ascii="Times New Roman" w:hAnsi="Times New Roman" w:cs="Times New Roman"/>
          <w:szCs w:val="24"/>
        </w:rPr>
      </w:pPr>
      <w:bookmarkStart w:id="9" w:name="_Toc126153313"/>
      <w:r w:rsidRPr="007739EF">
        <w:rPr>
          <w:rFonts w:ascii="Times New Roman" w:hAnsi="Times New Roman" w:cs="Times New Roman"/>
          <w:szCs w:val="24"/>
        </w:rPr>
        <w:t>3. Mierniki efektywności odpowiadające celom programu:</w:t>
      </w:r>
      <w:bookmarkEnd w:id="9"/>
    </w:p>
    <w:p w:rsidR="007C5657" w:rsidRPr="007739EF" w:rsidRDefault="008E6AD5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1) Odsetek osób (świadczeniobiorcy + personel medyczny), u których w post-teście odnotowano wysoki poziom wiedzy, względem wszystkich osób, które wypełniły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-test.</w:t>
      </w:r>
    </w:p>
    <w:p w:rsidR="007C5657" w:rsidRPr="007739EF" w:rsidRDefault="008E6AD5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2) Odsetek przedstawicieli personelu medycznego, u których w post-teście odnotowano wysoki poziom wiedzy, względem wszystkich osób z personelu medycznego, które wypełniły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-test.</w:t>
      </w:r>
    </w:p>
    <w:p w:rsidR="007C5657" w:rsidRPr="007739EF" w:rsidRDefault="008E6AD5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3) Odsetek świadczeniobiorców, u których w post-teście odnotowano wysoki poziom wiedzy, względem wszystkich świadczeniobiorców, którzy wypełnili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-test.</w:t>
      </w:r>
    </w:p>
    <w:p w:rsidR="007C5657" w:rsidRPr="007739EF" w:rsidRDefault="007C5657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</w:rPr>
      </w:pPr>
    </w:p>
    <w:p w:rsidR="007C5657" w:rsidRPr="007739EF" w:rsidRDefault="008E6AD5">
      <w:pPr>
        <w:tabs>
          <w:tab w:val="left" w:pos="1160"/>
        </w:tabs>
        <w:spacing w:before="96" w:after="96"/>
        <w:contextualSpacing/>
        <w:jc w:val="both"/>
        <w:rPr>
          <w:rFonts w:ascii="Times New Roman" w:hAnsi="Times New Roman"/>
          <w:sz w:val="20"/>
          <w:szCs w:val="20"/>
        </w:rPr>
      </w:pPr>
      <w:r w:rsidRPr="007739EF">
        <w:rPr>
          <w:rFonts w:ascii="Times New Roman" w:hAnsi="Times New Roman"/>
          <w:sz w:val="20"/>
          <w:szCs w:val="20"/>
        </w:rPr>
        <w:t xml:space="preserve">* wskaźniki docelowe przyjęto na podstawie doświadczeń innych urzędów JST w zakresie realizacji programów polityki zdrowotnej </w:t>
      </w:r>
    </w:p>
    <w:p w:rsidR="007C5657" w:rsidRPr="007739EF" w:rsidRDefault="007C5657">
      <w:pPr>
        <w:pStyle w:val="Akapitzlist"/>
        <w:tabs>
          <w:tab w:val="left" w:pos="1160"/>
        </w:tabs>
        <w:spacing w:before="96" w:after="96"/>
        <w:ind w:left="426"/>
        <w:jc w:val="both"/>
        <w:rPr>
          <w:rFonts w:ascii="Times New Roman" w:hAnsi="Times New Roman"/>
        </w:rPr>
      </w:pPr>
    </w:p>
    <w:p w:rsidR="007C5657" w:rsidRPr="007739EF" w:rsidRDefault="007C5657">
      <w:pPr>
        <w:pStyle w:val="Akapitzlist"/>
        <w:tabs>
          <w:tab w:val="left" w:pos="1160"/>
        </w:tabs>
        <w:spacing w:before="96" w:after="96"/>
        <w:ind w:left="426"/>
        <w:jc w:val="both"/>
        <w:rPr>
          <w:rFonts w:ascii="Times New Roman" w:hAnsi="Times New Roman"/>
        </w:rPr>
        <w:sectPr w:rsidR="007C5657" w:rsidRPr="007739EF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C5657" w:rsidRPr="007739EF" w:rsidRDefault="008E6AD5">
      <w:pPr>
        <w:pStyle w:val="Nagwek1"/>
        <w:spacing w:before="96" w:after="96"/>
        <w:rPr>
          <w:rFonts w:ascii="Times New Roman" w:hAnsi="Times New Roman"/>
          <w:szCs w:val="24"/>
          <w:lang w:val="pl-PL"/>
        </w:rPr>
      </w:pPr>
      <w:bookmarkStart w:id="10" w:name="_Toc126153314"/>
      <w:r w:rsidRPr="007739EF">
        <w:rPr>
          <w:rFonts w:ascii="Times New Roman" w:hAnsi="Times New Roman"/>
          <w:szCs w:val="24"/>
          <w:lang w:val="pl-PL"/>
        </w:rPr>
        <w:lastRenderedPageBreak/>
        <w:t>III. Charakterystyka populacji docelowej oraz charakterystyka interwencji, jakie są planowane w ramach programu polityki zdrowotnej</w:t>
      </w:r>
      <w:bookmarkEnd w:id="10"/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</w:r>
    </w:p>
    <w:p w:rsidR="007C5657" w:rsidRPr="007739EF" w:rsidRDefault="008E6AD5">
      <w:pPr>
        <w:pStyle w:val="Nagwek2"/>
        <w:spacing w:before="96" w:after="96"/>
        <w:rPr>
          <w:rFonts w:ascii="Times New Roman" w:hAnsi="Times New Roman" w:cs="Times New Roman"/>
          <w:szCs w:val="24"/>
        </w:rPr>
      </w:pPr>
      <w:bookmarkStart w:id="11" w:name="_Toc126153315"/>
      <w:r w:rsidRPr="007739EF">
        <w:rPr>
          <w:rFonts w:ascii="Times New Roman" w:hAnsi="Times New Roman" w:cs="Times New Roman"/>
          <w:szCs w:val="24"/>
        </w:rPr>
        <w:t>1. Populacja docelowa</w:t>
      </w:r>
      <w:bookmarkEnd w:id="11"/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Program będzie skierowany do: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1) Personelu medycznego mającego kontakt z uczestnikami PPZ, a w szczególności do osób realizujących działania informacyjno-edukacyjne oraz lekarzy przeprowadzających wizyty podsumowujące (szkolenia personelu medycznego) – program obejmie co najmniej 5 osób z personelu medycznego;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2) mieszkańców gminy w wieku 50 lat i więcej (działania informacyjno-edukacyjne) - gminę zamieszkuje ok. 2 740 kobiet oraz ok. 2 215 mężczyzn w tym wieku (łącznie ok. 4 950 tys. osób), program w związku z ograniczonymi zasobami finansowymi obejmie ok. 750 osób tj. ok. 15% populacji docelowej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3) zamieszkujących gminę kobiet w wieku ≥65 lat, lub kobiet w wieku 40-64 lat z co najmniej jednym dodatkowym czynnikiem ryzyka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(ocena ryzyka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narzędziem FRAX)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a) gminę zamieszkuje ok. 1 470 kobiet w wieku 65 lat i więcej; w związku z ograniczonymi możliwościami finansowymi zaplanowano, że program w etapie III obejmie ok. 455 kobiet w wieku 65 lat i więcej tj. ok. 31% tej populacji docelowej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b) gminę zamieszkuje ok. 2 190 kobiet w wieku 40-64 lat; w związku z ograniczonymi możliwościami finansowymi zaplanowano, że program w etapie III obejmie ok. 215 kobiet w wieku 40-64 lat tj. ok. 10% tej populacji docelowej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4) zamieszkujących gminę mężczyzn w wieku ≥75 lat (po objęciu działaniami całej populacji kobiet) - gminę zamieszkuje ok. 130 mężczyzn w tym wieku; w razie objęcia kompleksową interwencją min. 30% kobiet ≥ 65 roku życia mieszkających na terenie gminy oraz niewykorzystania całości środków zaplanowano objęcie programem dodatkowo ok. 25 mężczyzn tj. 20% tej populacji docelowej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  <w:color w:val="00B050"/>
        </w:rPr>
      </w:pPr>
      <w:r w:rsidRPr="007739EF">
        <w:rPr>
          <w:rFonts w:ascii="Times New Roman" w:hAnsi="Times New Roman"/>
        </w:rPr>
        <w:t xml:space="preserve">5) uczestników Programu, u których ryzyko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ocenionego narzędziem FRAX na podstawie danych z formularza zgłoszeniowego wyniosło ≥5% (Pomiar BMD za pomocą DXA oraz lekarska wizyta podsumowująca) – według szacunków epidemiologicznych dziesięcioletnie ryzyko poważnych złamań </w:t>
      </w:r>
      <w:proofErr w:type="spellStart"/>
      <w:r w:rsidRPr="007739EF">
        <w:rPr>
          <w:rFonts w:ascii="Times New Roman" w:hAnsi="Times New Roman"/>
        </w:rPr>
        <w:t>osteoporotycznych</w:t>
      </w:r>
      <w:proofErr w:type="spellEnd"/>
      <w:r w:rsidRPr="007739EF">
        <w:rPr>
          <w:rFonts w:ascii="Times New Roman" w:hAnsi="Times New Roman"/>
        </w:rPr>
        <w:t xml:space="preserve"> dotyczy ok. 40% kobiet oraz ok. 13% mężczyzn z populacji docelowej</w:t>
      </w:r>
      <w:r w:rsidRPr="007739EF">
        <w:rPr>
          <w:rStyle w:val="Odwoanieprzypisudolnego"/>
          <w:rFonts w:ascii="Times New Roman" w:hAnsi="Times New Roman"/>
        </w:rPr>
        <w:footnoteReference w:id="26"/>
      </w:r>
      <w:r w:rsidRPr="007739EF">
        <w:rPr>
          <w:rFonts w:ascii="Times New Roman" w:hAnsi="Times New Roman"/>
        </w:rPr>
        <w:t xml:space="preserve">, w związku z czym szacuje się, że program w tym etapie obejmie ok. 270 kobiet (ok. 40% z 670 kobiet z etapu III). </w:t>
      </w:r>
    </w:p>
    <w:p w:rsidR="007C5657" w:rsidRPr="007739EF" w:rsidRDefault="008E6AD5">
      <w:pPr>
        <w:pStyle w:val="Nagwek2"/>
        <w:spacing w:before="96" w:after="96"/>
        <w:jc w:val="both"/>
        <w:rPr>
          <w:rFonts w:ascii="Times New Roman" w:hAnsi="Times New Roman" w:cs="Times New Roman"/>
          <w:szCs w:val="24"/>
        </w:rPr>
      </w:pPr>
      <w:bookmarkStart w:id="12" w:name="_Toc126153316"/>
      <w:r w:rsidRPr="007739EF">
        <w:rPr>
          <w:rFonts w:ascii="Times New Roman" w:hAnsi="Times New Roman" w:cs="Times New Roman"/>
          <w:szCs w:val="24"/>
        </w:rPr>
        <w:t>2. Kryteria kwalifikacji do udziału w programie polityki zdrowotnej oraz kryteria wyłączenia z programu polityki zdrowotnej</w:t>
      </w:r>
      <w:bookmarkEnd w:id="12"/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1) Szkolenia personelu medycznego (etap I):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a. kryteria włączenia: </w:t>
      </w:r>
    </w:p>
    <w:p w:rsidR="007C5657" w:rsidRPr="007739EF" w:rsidRDefault="008E6AD5">
      <w:pPr>
        <w:pStyle w:val="Akapitzlist"/>
        <w:numPr>
          <w:ilvl w:val="0"/>
          <w:numId w:val="9"/>
        </w:num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>udzielenie świadomej zgody na udział w programie</w:t>
      </w:r>
    </w:p>
    <w:p w:rsidR="007C5657" w:rsidRPr="007739EF" w:rsidRDefault="008E6AD5">
      <w:pPr>
        <w:pStyle w:val="Akapitzlist"/>
        <w:numPr>
          <w:ilvl w:val="0"/>
          <w:numId w:val="9"/>
        </w:num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personel medyczny zaangażowany w realizację programu, który będzie miał kontakt ze świadczeniobiorcami, np.: lekarze, pielęgniarki, koordynatorzy opieki medycznej </w:t>
      </w:r>
    </w:p>
    <w:p w:rsidR="007C5657" w:rsidRPr="007739EF" w:rsidRDefault="008E6AD5">
      <w:p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b. kryteria wykluczenia: </w:t>
      </w:r>
    </w:p>
    <w:p w:rsidR="007C5657" w:rsidRPr="007739EF" w:rsidRDefault="008E6AD5">
      <w:pPr>
        <w:pStyle w:val="Akapitzlist"/>
        <w:numPr>
          <w:ilvl w:val="0"/>
          <w:numId w:val="9"/>
        </w:num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ukończenie szkolenia dla personelu medycznego obejmującego tę samą tematykę i poziom szczegółowości w ciągu poprzednich 2 lat</w:t>
      </w:r>
    </w:p>
    <w:p w:rsidR="007C5657" w:rsidRPr="007739EF" w:rsidRDefault="008E6AD5">
      <w:pPr>
        <w:pStyle w:val="Akapitzlist"/>
        <w:numPr>
          <w:ilvl w:val="0"/>
          <w:numId w:val="9"/>
        </w:num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wiedza i doświadczenie w przedmiotowym zakresie na poziomie eksperckim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2) Działania informacyjno-edukacyjne (etap II)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a. kryteria włączenia: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zamieszkiwanie na terenie gminy Kłodawa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udzielenie świadomej zgody na udział w programie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osoba w wieku ≥50 lat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b. kryteria wykluczenia: </w:t>
      </w:r>
    </w:p>
    <w:p w:rsidR="007C5657" w:rsidRPr="007739EF" w:rsidRDefault="008E6AD5">
      <w:pPr>
        <w:pStyle w:val="Akapitzlist"/>
        <w:numPr>
          <w:ilvl w:val="0"/>
          <w:numId w:val="17"/>
        </w:numPr>
        <w:ind w:left="714" w:hanging="357"/>
        <w:rPr>
          <w:rFonts w:ascii="Times New Roman" w:hAnsi="Times New Roman"/>
          <w:b/>
        </w:rPr>
      </w:pPr>
      <w:r w:rsidRPr="007739EF">
        <w:rPr>
          <w:rFonts w:ascii="Times New Roman" w:hAnsi="Times New Roman"/>
        </w:rPr>
        <w:t>uczestnictwo w działaniach edukacyjnych obejmujących tę samą tematykę w ciągu poprzednich 2 lat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3) Ocena ryzyka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narzędziem FRAX (etap III)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a. kryteria włączenia: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zamieszkiwanie na terenie gminy Kłodawa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udzielenie świadomej zgody na udział w programie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złożenie pisemnego oświadczenia, że dana osoba nie jest obecnie uczestnikiem innego programu o podobnym charakterze finansowanym ze środków publicznych i nie uczestniczyła w tego typu programie w ciągu ostatnich 24 miesięcy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kobiety w wieku ≥65 lat lub kobiety w wieku 40-64 lat z co najmniej jednym dodatkowym czynnikiem ryzyka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(przebyte złamania, złamania biodra u co najmniej jednego z rodziców, obecne palenie tytoniu, stosowanie </w:t>
      </w:r>
      <w:proofErr w:type="spellStart"/>
      <w:r w:rsidRPr="007739EF">
        <w:rPr>
          <w:rFonts w:ascii="Times New Roman" w:hAnsi="Times New Roman"/>
        </w:rPr>
        <w:t>glikokortykosteroidów</w:t>
      </w:r>
      <w:proofErr w:type="spellEnd"/>
      <w:r w:rsidRPr="007739EF">
        <w:rPr>
          <w:rFonts w:ascii="Times New Roman" w:hAnsi="Times New Roman"/>
        </w:rPr>
        <w:t>, zdiagnozowane reumatoidalne zapalenie stawów, obecność schorzenia silnie związanego z osteoporozą, spożywanie 3 lub więcej jednostek alkoholu dziennie) lub mężczyźni w wieku ≥75 lat (po objęciu działaniami całej populacji kobiet)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podanie w formularzu zgłoszeniowym kompletu informacji niezbędnych do użycia narzędzia FRAX</w:t>
      </w:r>
    </w:p>
    <w:p w:rsidR="007C5657" w:rsidRPr="007739EF" w:rsidRDefault="008E6AD5">
      <w:p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b. kryteria wykluczenia: </w:t>
      </w:r>
    </w:p>
    <w:p w:rsidR="007C5657" w:rsidRPr="007739EF" w:rsidRDefault="008E6AD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7739EF">
        <w:rPr>
          <w:rFonts w:ascii="Times New Roman" w:hAnsi="Times New Roman"/>
        </w:rPr>
        <w:t>wcześniej zdiagnozowana osteoporoza.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4) Pomiar BMD za pomocą DXA (etap IV)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a. kryteria włączenia: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zamieszkiwanie na terenie gminy Kłodawa 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bookmarkStart w:id="13" w:name="_Hlk125044639"/>
      <w:r w:rsidRPr="007739EF">
        <w:rPr>
          <w:rFonts w:ascii="Times New Roman" w:hAnsi="Times New Roman"/>
        </w:rPr>
        <w:t>udzielenie świadomej zgody na udział w programie</w:t>
      </w:r>
      <w:bookmarkEnd w:id="13"/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bookmarkStart w:id="14" w:name="_Hlk125044623"/>
      <w:r w:rsidRPr="007739EF">
        <w:rPr>
          <w:rFonts w:ascii="Times New Roman" w:hAnsi="Times New Roman"/>
        </w:rPr>
        <w:t>złożenie pisemnego oświadczenia, że dana osoba nie miała w ciągu ostatnich 24 miesięcy przeprowadzonego badania densytometrycznego</w:t>
      </w:r>
      <w:bookmarkEnd w:id="14"/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>zakwalifikowanie w ramach programu przez uzyskanie wyniku FRAX ≥5% (wartość obliczana i wpisywana przez osobę przyjmującą formularz zgłoszeniowy na podstawie zawartych w nim danych)</w:t>
      </w:r>
    </w:p>
    <w:p w:rsidR="007C5657" w:rsidRPr="007739EF" w:rsidRDefault="008E6AD5">
      <w:pPr>
        <w:spacing w:before="96" w:after="96"/>
        <w:jc w:val="both"/>
        <w:rPr>
          <w:rFonts w:ascii="Times New Roman" w:hAnsi="Times New Roman"/>
          <w:color w:val="00B050"/>
        </w:rPr>
      </w:pPr>
      <w:r w:rsidRPr="007739EF">
        <w:rPr>
          <w:rFonts w:ascii="Times New Roman" w:hAnsi="Times New Roman"/>
        </w:rPr>
        <w:t xml:space="preserve">b. kryteria wykluczenia: </w:t>
      </w:r>
    </w:p>
    <w:p w:rsidR="007C5657" w:rsidRPr="007739EF" w:rsidRDefault="008E6AD5">
      <w:pPr>
        <w:pStyle w:val="Akapitzlist"/>
        <w:numPr>
          <w:ilvl w:val="0"/>
          <w:numId w:val="10"/>
        </w:numPr>
        <w:spacing w:before="96" w:after="96"/>
        <w:jc w:val="both"/>
        <w:rPr>
          <w:rFonts w:ascii="Times New Roman" w:hAnsi="Times New Roman"/>
          <w:color w:val="00B050"/>
        </w:rPr>
      </w:pPr>
      <w:r w:rsidRPr="007739EF">
        <w:rPr>
          <w:rFonts w:ascii="Times New Roman" w:hAnsi="Times New Roman"/>
        </w:rPr>
        <w:t>ostatni pomiar u świadczeniobiorcy BMD za pomocą DXA na szyjce kości udowej w ciągu poprzednich 2 lat przy jednoczesnym braku nowych czynników ryzyka od czasu tego pomiaru</w:t>
      </w:r>
    </w:p>
    <w:p w:rsidR="007C5657" w:rsidRPr="007739EF" w:rsidRDefault="008E6AD5">
      <w:pPr>
        <w:pStyle w:val="Akapitzlist"/>
        <w:numPr>
          <w:ilvl w:val="0"/>
          <w:numId w:val="10"/>
        </w:numPr>
        <w:spacing w:before="96" w:after="96"/>
        <w:jc w:val="both"/>
        <w:rPr>
          <w:rFonts w:ascii="Times New Roman" w:hAnsi="Times New Roman"/>
          <w:color w:val="00B050"/>
        </w:rPr>
      </w:pPr>
      <w:r w:rsidRPr="007739EF">
        <w:rPr>
          <w:rFonts w:ascii="Times New Roman" w:hAnsi="Times New Roman"/>
        </w:rPr>
        <w:t>obecność przeciwwskazań do pomiaru DXA przez szyjkę kości udowej, np. obustronna endoproteza całkowita stawu biodrowego, znaczna otyłość</w:t>
      </w:r>
    </w:p>
    <w:p w:rsidR="007C5657" w:rsidRPr="007739EF" w:rsidRDefault="008E6AD5">
      <w:pPr>
        <w:pStyle w:val="Akapitzlist"/>
        <w:numPr>
          <w:ilvl w:val="0"/>
          <w:numId w:val="10"/>
        </w:numPr>
        <w:spacing w:before="96" w:after="96"/>
        <w:jc w:val="both"/>
        <w:rPr>
          <w:rFonts w:ascii="Times New Roman" w:hAnsi="Times New Roman"/>
          <w:color w:val="00B050"/>
        </w:rPr>
      </w:pPr>
      <w:r w:rsidRPr="007739EF">
        <w:rPr>
          <w:rFonts w:ascii="Times New Roman" w:hAnsi="Times New Roman"/>
        </w:rPr>
        <w:t>obecność innych przeciwwskazań, np. ciąża;</w:t>
      </w:r>
    </w:p>
    <w:p w:rsidR="007C5657" w:rsidRPr="007739EF" w:rsidRDefault="008E6AD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7739EF">
        <w:rPr>
          <w:rFonts w:ascii="Times New Roman" w:hAnsi="Times New Roman"/>
        </w:rPr>
        <w:t>wcześniej zdiagnozowana osteoporoza.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5) Lekarska wizyta podsumowująca (etap V)</w:t>
      </w:r>
    </w:p>
    <w:p w:rsidR="007C5657" w:rsidRPr="007739EF" w:rsidRDefault="008E6AD5">
      <w:p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a. kryteria włączenia: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zamieszkiwanie na terenie gminy Kłodawa 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udzielenie świadomej zgody na udział w programie</w:t>
      </w:r>
    </w:p>
    <w:p w:rsidR="007C5657" w:rsidRPr="007739EF" w:rsidRDefault="008E6AD5">
      <w:pPr>
        <w:pStyle w:val="Akapitzlist"/>
        <w:numPr>
          <w:ilvl w:val="0"/>
          <w:numId w:val="3"/>
        </w:numPr>
        <w:spacing w:before="96" w:after="96"/>
        <w:ind w:left="709" w:hanging="283"/>
        <w:jc w:val="both"/>
        <w:rPr>
          <w:rFonts w:ascii="Times New Roman" w:hAnsi="Times New Roman"/>
          <w:color w:val="00B050"/>
        </w:rPr>
      </w:pPr>
      <w:r w:rsidRPr="007739EF">
        <w:rPr>
          <w:rFonts w:ascii="Times New Roman" w:hAnsi="Times New Roman"/>
        </w:rPr>
        <w:t>dostępny wynik pomiaru BMD za pomocą DXA wykonany w ramach realizowanego PPZ</w:t>
      </w:r>
    </w:p>
    <w:p w:rsidR="007C5657" w:rsidRPr="007739EF" w:rsidRDefault="008E6AD5">
      <w:pPr>
        <w:spacing w:before="96" w:after="96"/>
        <w:jc w:val="both"/>
        <w:rPr>
          <w:rFonts w:ascii="Times New Roman" w:hAnsi="Times New Roman"/>
          <w:color w:val="00B050"/>
        </w:rPr>
      </w:pPr>
      <w:r w:rsidRPr="007739EF">
        <w:rPr>
          <w:rFonts w:ascii="Times New Roman" w:hAnsi="Times New Roman"/>
        </w:rPr>
        <w:t>b. kryteria wykluczenia: brak.</w:t>
      </w:r>
    </w:p>
    <w:p w:rsidR="007C5657" w:rsidRPr="007739EF" w:rsidRDefault="008E6AD5">
      <w:pPr>
        <w:pStyle w:val="Nagwek1"/>
        <w:rPr>
          <w:rFonts w:ascii="Times New Roman" w:hAnsi="Times New Roman"/>
          <w:lang w:val="pl-PL"/>
        </w:rPr>
      </w:pPr>
      <w:bookmarkStart w:id="15" w:name="_Toc126153317"/>
      <w:r w:rsidRPr="007739EF">
        <w:rPr>
          <w:rFonts w:ascii="Times New Roman" w:hAnsi="Times New Roman"/>
          <w:lang w:val="pl-PL"/>
        </w:rPr>
        <w:t>3. Planowane interwencje:</w:t>
      </w:r>
      <w:bookmarkEnd w:id="15"/>
    </w:p>
    <w:p w:rsidR="007C5657" w:rsidRPr="007739EF" w:rsidRDefault="008E6AD5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1) Etap I – Szkolenia personelu medycznego</w:t>
      </w:r>
    </w:p>
    <w:p w:rsidR="007C5657" w:rsidRPr="007739EF" w:rsidRDefault="008E6AD5">
      <w:pPr>
        <w:pStyle w:val="Akapitzlist"/>
        <w:numPr>
          <w:ilvl w:val="1"/>
          <w:numId w:val="7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Szkolenie w formie stacjonarnej lub e-learningu zaplanowane dla grupy co najmniej 5 osób z uwzględnieniem badania poziomu wiedzy uczestników przy zastosowaniu opracowanego przez Realizatora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-testu przed prelekcją oraz post-testu po prelekcji (minimum 10 pytań zamkniętych z 3 wariantami odpowiedzi, test jednokrotnego wyboru)</w:t>
      </w:r>
    </w:p>
    <w:p w:rsidR="007C5657" w:rsidRPr="007739EF" w:rsidRDefault="008E6AD5">
      <w:pPr>
        <w:pStyle w:val="Akapitzlist"/>
        <w:numPr>
          <w:ilvl w:val="1"/>
          <w:numId w:val="7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Treści szkoleniowe: zalecane przez rekomendacje metody profilaktyki, diagnostyki oraz leczenia osteoporozy, zapobieganie złamaniom </w:t>
      </w:r>
      <w:proofErr w:type="spellStart"/>
      <w:r w:rsidRPr="007739EF">
        <w:rPr>
          <w:rFonts w:ascii="Times New Roman" w:hAnsi="Times New Roman"/>
        </w:rPr>
        <w:t>osteoporotycznym</w:t>
      </w:r>
      <w:proofErr w:type="spellEnd"/>
      <w:r w:rsidRPr="007739EF">
        <w:rPr>
          <w:rFonts w:ascii="Times New Roman" w:hAnsi="Times New Roman"/>
        </w:rPr>
        <w:t xml:space="preserve"> i upadkom</w:t>
      </w:r>
    </w:p>
    <w:p w:rsidR="007C5657" w:rsidRPr="007739EF" w:rsidRDefault="008E6AD5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2) Etap II - Działania informacyjno-edukacyjne:</w:t>
      </w:r>
    </w:p>
    <w:p w:rsidR="007C5657" w:rsidRPr="007739EF" w:rsidRDefault="008E6AD5">
      <w:pPr>
        <w:pStyle w:val="Akapitzlist"/>
        <w:numPr>
          <w:ilvl w:val="1"/>
          <w:numId w:val="7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Przygotowanie oraz dystrybucja broszur z informacjami na temat profilaktyki osteoporozy, zapobieganiu złamaniom </w:t>
      </w:r>
      <w:proofErr w:type="spellStart"/>
      <w:r w:rsidRPr="007739EF">
        <w:rPr>
          <w:rFonts w:ascii="Times New Roman" w:hAnsi="Times New Roman"/>
        </w:rPr>
        <w:t>osteoporotycznym</w:t>
      </w:r>
      <w:proofErr w:type="spellEnd"/>
      <w:r w:rsidRPr="007739EF">
        <w:rPr>
          <w:rFonts w:ascii="Times New Roman" w:hAnsi="Times New Roman"/>
        </w:rPr>
        <w:t xml:space="preserve"> i zapobieganiu upadkom w populacji osób dorosłych</w:t>
      </w:r>
    </w:p>
    <w:p w:rsidR="007C5657" w:rsidRPr="007739EF" w:rsidRDefault="008E6AD5">
      <w:pPr>
        <w:pStyle w:val="Akapitzlist"/>
        <w:numPr>
          <w:ilvl w:val="1"/>
          <w:numId w:val="7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Edukacja zdrowotna zaplanowana i prowadzona przez lekarza, pielęgniarkę, fizjoterapeutę, dietetyka, ratownika medycznego, edukatora medycznego, </w:t>
      </w:r>
      <w:proofErr w:type="spellStart"/>
      <w:r w:rsidRPr="007739EF">
        <w:rPr>
          <w:rFonts w:ascii="Times New Roman" w:hAnsi="Times New Roman"/>
        </w:rPr>
        <w:t>elektroradiologa</w:t>
      </w:r>
      <w:proofErr w:type="spellEnd"/>
      <w:r w:rsidRPr="007739EF">
        <w:rPr>
          <w:rFonts w:ascii="Times New Roman" w:hAnsi="Times New Roman"/>
        </w:rPr>
        <w:t xml:space="preserve"> lub specjalistę zdrowia publicznego z wykorzystaniem metody wykładu w populacji docelowej 80 osób w wieku 50 lat i więcej, w formie co najmniej 2 wykładów 60-minutowych dla grup max. 40-osobowych, z uwzględnieniem badania poziomu wiedzy uczestników przy zastosowaniu opracowanego przez Realizatora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-testu przed prelekcją oraz post-testu po prelekcji (minimum 5 pytań zamkniętych z 3 wariantami odpowiedzi, test jednokrotnego wyboru); wykład powinien obejmować następujące treści: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 xml:space="preserve">główne założenia realizowanego programu, 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istota działań profilaktyki pierwotnej osteoporozy,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promocja elementów składających się na zdrowy styl życia, ze szczególnym uwzględnieniem czynników mających wpływ na zdrowie kości, 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zasadnicza rola aktywności fizycznej na poprawę BMD, ze szczegółowym omówieniem ćwiczeń obciążeniowych, oporowych, poprawiających równowagę, a także wzmacniających siłę mięśniową, dostosowanych do indywidulanych potrzeb i możliwości pacjenta,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przyczyny upadków oraz ich negatywnych następstw,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działania pomagające zapobiegać upadkom,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identyfikacja i sposoby eliminacji czynników ryzyka zachorowania na osteoporozę,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rola prawidłowej diety w profilaktyce osteoporozy, w tym dostarczania optymalnych ilości wapnia oraz ograniczenia spożycia alkoholu.</w:t>
      </w:r>
    </w:p>
    <w:p w:rsidR="007C5657" w:rsidRPr="007739EF" w:rsidRDefault="008E6AD5">
      <w:pPr>
        <w:pStyle w:val="Akapitzlist"/>
        <w:numPr>
          <w:ilvl w:val="1"/>
          <w:numId w:val="7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Edukacja zdrowotna zaplanowana i prowadzona przez osobę przyjmującą formularz w etapie III</w:t>
      </w:r>
      <w:r w:rsidRPr="007739EF">
        <w:rPr>
          <w:rStyle w:val="Odwoanieprzypisudolnego"/>
          <w:rFonts w:ascii="Times New Roman" w:hAnsi="Times New Roman"/>
        </w:rPr>
        <w:footnoteReference w:id="27"/>
      </w:r>
      <w:r w:rsidRPr="007739EF">
        <w:rPr>
          <w:rFonts w:ascii="Times New Roman" w:hAnsi="Times New Roman"/>
        </w:rPr>
        <w:t xml:space="preserve"> z wykorzystaniem metody pogadanki w populacji docelowej osób w wieku 65 lat i więcej, z uwzględnieniem badania poziomu wiedzy uczestnika przy zastosowaniu opracowanego przez Realizatora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-testu przed prelekcją oraz post-testu po edukacji (minimum 5 pytań zamkniętych z 3 wariantami odpowiedzi, test jednokrotnego wyboru); pogadanka powinna obejmować następujące treści: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główne założenia realizowanego programu, 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istota działań profilaktyki pierwotnej osteoporozy,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promocja elementów składających się na zdrowy styl życia, ze szczególnym uwzględnieniem czynników mających wpływ na zdrowie kości, 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zasadnicza rola aktywności fizycznej na poprawę BMD, ze szczegółowym omówieniem ćwiczeń obciążeniowych, oporowych, poprawiających równowagę, a także wzmacniających siłę mięśniową, dostosowanych do indywidulanych potrzeb i możliwości pacjenta,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przyczyny upadków oraz ich negatywnych następstw,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działania pomagające zapobiegać upadkom,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identyfikacja i sposoby eliminacji czynników ryzyka zachorowania na osteoporozę,</w:t>
      </w:r>
    </w:p>
    <w:p w:rsidR="007C5657" w:rsidRPr="007739EF" w:rsidRDefault="008E6AD5">
      <w:pPr>
        <w:pStyle w:val="Akapitzlist"/>
        <w:numPr>
          <w:ilvl w:val="2"/>
          <w:numId w:val="7"/>
        </w:numPr>
        <w:tabs>
          <w:tab w:val="left" w:pos="1160"/>
        </w:tabs>
        <w:spacing w:before="96" w:after="96"/>
        <w:ind w:left="1418"/>
        <w:jc w:val="both"/>
        <w:rPr>
          <w:rFonts w:ascii="Times New Roman" w:hAnsi="Times New Roman"/>
        </w:rPr>
      </w:pPr>
      <w:bookmarkStart w:id="16" w:name="_Hlk125042619"/>
      <w:r w:rsidRPr="007739EF">
        <w:rPr>
          <w:rFonts w:ascii="Times New Roman" w:hAnsi="Times New Roman"/>
        </w:rPr>
        <w:t>rola prawidłowej diety w profilaktyce osteoporozy, w tym dostarczania optymalnych ilości wapnia oraz ograniczenia spożycia alkoholu.</w:t>
      </w:r>
      <w:bookmarkEnd w:id="16"/>
    </w:p>
    <w:p w:rsidR="007C5657" w:rsidRPr="007739EF" w:rsidRDefault="008E6AD5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3) Etap III - Ocena ryzyka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narzędziem FRAX</w:t>
      </w:r>
    </w:p>
    <w:p w:rsidR="007C5657" w:rsidRPr="007739EF" w:rsidRDefault="008E6AD5">
      <w:pPr>
        <w:pStyle w:val="Akapitzlist"/>
        <w:numPr>
          <w:ilvl w:val="0"/>
          <w:numId w:val="13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indywidualna edukacja zdrowotna (z uwzględnieniem badania poziomu wiedzy uczestnika przy zastosowaniu opracowanego przez Realizatora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-testu przed prelekcją oraz post-testu po edukacji, co opisano w punkcie poprzednim)</w:t>
      </w:r>
    </w:p>
    <w:p w:rsidR="007C5657" w:rsidRPr="007739EF" w:rsidRDefault="008E6AD5">
      <w:pPr>
        <w:pStyle w:val="Akapitzlist"/>
        <w:numPr>
          <w:ilvl w:val="0"/>
          <w:numId w:val="13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wypełnienie przez uczestnika Programu formularza zgłoszeniowego (załącznik 1) oraz weryfikacja kompletności informacji przez osobę przyjmującą formularz</w:t>
      </w:r>
    </w:p>
    <w:p w:rsidR="007C5657" w:rsidRPr="007739EF" w:rsidRDefault="008E6AD5">
      <w:pPr>
        <w:pStyle w:val="Akapitzlist"/>
        <w:numPr>
          <w:ilvl w:val="0"/>
          <w:numId w:val="13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 xml:space="preserve">wyliczenie dziesięcioletniego prawdopodobieństwa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>, przy wykorzystaniu narzędzia FRAX dla populacji polskiej („FRAX PL”) oraz wpisanie go do formularza zgłoszeniowego</w:t>
      </w:r>
    </w:p>
    <w:p w:rsidR="007C5657" w:rsidRPr="007739EF" w:rsidRDefault="008E6AD5">
      <w:pPr>
        <w:pStyle w:val="Akapitzlist"/>
        <w:numPr>
          <w:ilvl w:val="0"/>
          <w:numId w:val="13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udostępnienie świadczeniobiorcy wyniku w formie wydruku lub dokumentu elektronicznego</w:t>
      </w:r>
    </w:p>
    <w:p w:rsidR="007C5657" w:rsidRPr="007739EF" w:rsidRDefault="008E6AD5">
      <w:pPr>
        <w:pStyle w:val="Akapitzlist"/>
        <w:numPr>
          <w:ilvl w:val="0"/>
          <w:numId w:val="13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udzielenie merytorycznych odpowiedzi na wszelkie pytanie dotyczące osteoporozy i zapobieganiu upadkom oraz skierowanie świadczeniobiorcy do rzetelnych źródeł wiedzy</w:t>
      </w:r>
    </w:p>
    <w:p w:rsidR="007C5657" w:rsidRPr="007739EF" w:rsidRDefault="008E6AD5">
      <w:pPr>
        <w:pStyle w:val="Akapitzlist"/>
        <w:numPr>
          <w:ilvl w:val="0"/>
          <w:numId w:val="13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bookmarkStart w:id="17" w:name="_Hlk125043312"/>
      <w:r w:rsidRPr="007739EF">
        <w:rPr>
          <w:rFonts w:ascii="Times New Roman" w:hAnsi="Times New Roman"/>
        </w:rPr>
        <w:t xml:space="preserve">poinformowanie o niskim prawdopodobieństwie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i braku potrzeby wykonania pomiaru DXA (przy wyniku &lt;5%) lub poinformowanie o wysokim prawdopodobieństwie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(przy wyniku ≥5%) i zakwalifikowaniu do pomiaru DXA (etap IV) wraz z podaniem szczegółów dotyczących miejsca i czasu planowanego pomiaru DXA oraz sposobu przygotowania do badania (dodatkowo świadczeniobiorca powinien zostać poinformowany o przeciwwskazaniach do wykonania pomiaru DXA oraz o tym, że uzyskany wynik FRAX nie jest tożsamy ze stwierdzeniem osteoporozy)</w:t>
      </w:r>
      <w:bookmarkEnd w:id="17"/>
    </w:p>
    <w:p w:rsidR="007C5657" w:rsidRPr="007739EF" w:rsidRDefault="008E6AD5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4) Etap IV - pomiar BMD za pomocą DXA</w:t>
      </w:r>
    </w:p>
    <w:p w:rsidR="007C5657" w:rsidRPr="007739EF" w:rsidRDefault="008E6AD5">
      <w:pPr>
        <w:pStyle w:val="Akapitzlist"/>
        <w:numPr>
          <w:ilvl w:val="0"/>
          <w:numId w:val="12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pomiar densytometrii DXA dokonywany na szyjce kości udowej</w:t>
      </w:r>
    </w:p>
    <w:p w:rsidR="007C5657" w:rsidRPr="007739EF" w:rsidRDefault="008E6AD5">
      <w:pPr>
        <w:pStyle w:val="Akapitzlist"/>
        <w:numPr>
          <w:ilvl w:val="0"/>
          <w:numId w:val="12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przy wyznaczaniu 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 xml:space="preserve"> dla kobiet i mężczyzn norma referencyjna to NHANES III dla kobiety rasy białej pomiędzy 20-29 rokiem życia (przestrzeganie ww. specyfikacji wskazanej przez autorów narzędzia FRAX umożliwi zastosowanie wyniku pomiaru w narzędziu FRAX)</w:t>
      </w:r>
    </w:p>
    <w:p w:rsidR="007C5657" w:rsidRPr="007739EF" w:rsidRDefault="008E6AD5">
      <w:pPr>
        <w:pStyle w:val="Akapitzlist"/>
        <w:numPr>
          <w:ilvl w:val="0"/>
          <w:numId w:val="12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bookmarkStart w:id="18" w:name="_Hlk125043338"/>
      <w:r w:rsidRPr="007739EF">
        <w:rPr>
          <w:rFonts w:ascii="Times New Roman" w:hAnsi="Times New Roman"/>
        </w:rPr>
        <w:t>przekazanie uczestnikom ankiet satysfakcji pacjenta (załącznik 3)</w:t>
      </w:r>
      <w:bookmarkEnd w:id="18"/>
    </w:p>
    <w:p w:rsidR="007C5657" w:rsidRPr="007739EF" w:rsidRDefault="008E6AD5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5) Etap V – Lekarska wizyta podsumowująca</w:t>
      </w:r>
    </w:p>
    <w:p w:rsidR="007C5657" w:rsidRPr="007739EF" w:rsidRDefault="008E6AD5">
      <w:pPr>
        <w:pStyle w:val="Akapitzlist"/>
        <w:numPr>
          <w:ilvl w:val="0"/>
          <w:numId w:val="11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omówienie w trakcie wizyty wyniku badania DXA</w:t>
      </w:r>
    </w:p>
    <w:p w:rsidR="007C5657" w:rsidRPr="007739EF" w:rsidRDefault="008E6AD5">
      <w:pPr>
        <w:pStyle w:val="Akapitzlist"/>
        <w:numPr>
          <w:ilvl w:val="0"/>
          <w:numId w:val="11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wykonanie ponownej oceny ryzyka złamania z użyciem narzędzia FRAX PL (z uwzględnieniem wyniku uzyskanego w DXA) oraz omówienie ze świadczeniobiorcą uzyskanego wyniku</w:t>
      </w:r>
    </w:p>
    <w:p w:rsidR="007C5657" w:rsidRPr="007739EF" w:rsidRDefault="008E6AD5">
      <w:pPr>
        <w:pStyle w:val="Akapitzlist"/>
        <w:numPr>
          <w:ilvl w:val="0"/>
          <w:numId w:val="11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uzupełniająca edukacja indywidualna, w ramach której lekarz udziela wyczerpujących odpowiedzi na pytania świadczeniobiorcy, przez co wyjaśnia i utrwala przekazane wcześniej podczas działań informacyjno-edukacyjnych informacje</w:t>
      </w:r>
    </w:p>
    <w:p w:rsidR="007C5657" w:rsidRPr="007739EF" w:rsidRDefault="008E6AD5">
      <w:pPr>
        <w:pStyle w:val="Akapitzlist"/>
        <w:numPr>
          <w:ilvl w:val="0"/>
          <w:numId w:val="11"/>
        </w:num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bookmarkStart w:id="19" w:name="_Hlk125043356"/>
      <w:r w:rsidRPr="007739EF">
        <w:rPr>
          <w:rFonts w:ascii="Times New Roman" w:hAnsi="Times New Roman"/>
        </w:rPr>
        <w:t>skierowanie pacjentów, którym postawiono diagnozę, do lekarza POZ celem uzyskania skierowania do dalszego leczenia specjalistycznego ze wskazaniem konkretnego podmiotu udzielającego świadczeń w ramach NFZ</w:t>
      </w:r>
      <w:bookmarkEnd w:id="19"/>
    </w:p>
    <w:p w:rsidR="007C5657" w:rsidRPr="007739EF" w:rsidRDefault="007C5657">
      <w:pPr>
        <w:tabs>
          <w:tab w:val="left" w:pos="1160"/>
        </w:tabs>
        <w:spacing w:before="96" w:after="96"/>
        <w:jc w:val="both"/>
        <w:rPr>
          <w:rFonts w:ascii="Times New Roman" w:hAnsi="Times New Roman"/>
          <w:color w:val="0070C0"/>
        </w:rPr>
      </w:pPr>
    </w:p>
    <w:p w:rsidR="007C5657" w:rsidRPr="007739EF" w:rsidRDefault="008E6AD5">
      <w:pPr>
        <w:tabs>
          <w:tab w:val="left" w:pos="1160"/>
        </w:tabs>
        <w:spacing w:before="96" w:after="96"/>
        <w:jc w:val="both"/>
        <w:rPr>
          <w:rFonts w:ascii="Times New Roman" w:hAnsi="Times New Roman"/>
          <w:b/>
        </w:rPr>
      </w:pPr>
      <w:r w:rsidRPr="007739EF">
        <w:rPr>
          <w:rFonts w:ascii="Times New Roman" w:hAnsi="Times New Roman"/>
          <w:b/>
        </w:rPr>
        <w:t>Dowody skuteczności planowanych działań</w:t>
      </w:r>
    </w:p>
    <w:p w:rsidR="007C5657" w:rsidRPr="007739EF" w:rsidRDefault="008E6AD5">
      <w:pPr>
        <w:tabs>
          <w:tab w:val="left" w:pos="426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Poparcie dla realizacji oceny 10-letniego ryzyka złamań oraz badań przesiewowych w kierunku osteoporozy wyrażają m.in. następujące grupy ekspertów</w:t>
      </w:r>
      <w:r w:rsidRPr="007739EF">
        <w:rPr>
          <w:rStyle w:val="Odwoanieprzypisudolnego"/>
          <w:rFonts w:ascii="Times New Roman" w:hAnsi="Times New Roman"/>
        </w:rPr>
        <w:footnoteReference w:id="28"/>
      </w:r>
      <w:r w:rsidRPr="007739EF">
        <w:rPr>
          <w:rFonts w:ascii="Times New Roman" w:hAnsi="Times New Roman"/>
        </w:rPr>
        <w:t>: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709"/>
        <w:jc w:val="both"/>
        <w:rPr>
          <w:rFonts w:ascii="Times New Roman" w:eastAsia="Times New Roman" w:hAnsi="Times New Roman"/>
          <w:lang w:val="en-US" w:eastAsia="pl-PL"/>
        </w:rPr>
      </w:pPr>
      <w:r w:rsidRPr="007739EF">
        <w:rPr>
          <w:rFonts w:ascii="Times New Roman" w:eastAsia="Times New Roman" w:hAnsi="Times New Roman"/>
          <w:lang w:val="en-US" w:eastAsia="pl-PL"/>
        </w:rPr>
        <w:lastRenderedPageBreak/>
        <w:t>American Association of Clinical Endocrinologists / American College of Endocrinology (AACE/ACE),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709"/>
        <w:jc w:val="both"/>
        <w:rPr>
          <w:rFonts w:ascii="Times New Roman" w:eastAsia="Times New Roman" w:hAnsi="Times New Roman"/>
          <w:lang w:val="en-US" w:eastAsia="pl-PL"/>
        </w:rPr>
      </w:pPr>
      <w:r w:rsidRPr="007739EF">
        <w:rPr>
          <w:rFonts w:ascii="Times New Roman" w:eastAsia="Times New Roman" w:hAnsi="Times New Roman"/>
          <w:lang w:val="en-US" w:eastAsia="pl-PL"/>
        </w:rPr>
        <w:t>National Institute for Health and Care Excellence (NICE),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709"/>
        <w:jc w:val="both"/>
        <w:rPr>
          <w:rFonts w:ascii="Times New Roman" w:eastAsia="Times New Roman" w:hAnsi="Times New Roman"/>
          <w:lang w:val="en-US" w:eastAsia="pl-PL"/>
        </w:rPr>
      </w:pPr>
      <w:r w:rsidRPr="007739EF">
        <w:rPr>
          <w:rFonts w:ascii="Times New Roman" w:eastAsia="Times New Roman" w:hAnsi="Times New Roman"/>
          <w:lang w:val="en-US" w:eastAsia="pl-PL"/>
        </w:rPr>
        <w:t>European Society for Clinical and Economic Aspects of Osteoporosis and Osteoarthritis/ International Osteoporosis Foundation (ESCEO/IOF),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7739EF">
        <w:rPr>
          <w:rFonts w:ascii="Times New Roman" w:eastAsia="Times New Roman" w:hAnsi="Times New Roman"/>
          <w:lang w:eastAsia="pl-PL"/>
        </w:rPr>
        <w:t xml:space="preserve">World </w:t>
      </w:r>
      <w:proofErr w:type="spellStart"/>
      <w:r w:rsidRPr="007739EF">
        <w:rPr>
          <w:rFonts w:ascii="Times New Roman" w:eastAsia="Times New Roman" w:hAnsi="Times New Roman"/>
          <w:lang w:eastAsia="pl-PL"/>
        </w:rPr>
        <w:t>Health</w:t>
      </w:r>
      <w:proofErr w:type="spellEnd"/>
      <w:r w:rsidRPr="007739EF">
        <w:rPr>
          <w:rFonts w:ascii="Times New Roman" w:eastAsia="Times New Roman" w:hAnsi="Times New Roman"/>
          <w:lang w:eastAsia="pl-PL"/>
        </w:rPr>
        <w:t xml:space="preserve"> Organization (WHO),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709"/>
        <w:jc w:val="both"/>
        <w:rPr>
          <w:rFonts w:ascii="Times New Roman" w:eastAsia="Times New Roman" w:hAnsi="Times New Roman"/>
          <w:lang w:val="en-US" w:eastAsia="pl-PL"/>
        </w:rPr>
      </w:pPr>
      <w:r w:rsidRPr="007739EF">
        <w:rPr>
          <w:rFonts w:ascii="Times New Roman" w:eastAsia="Times New Roman" w:hAnsi="Times New Roman"/>
          <w:lang w:val="en-US" w:eastAsia="pl-PL"/>
        </w:rPr>
        <w:t>The Italian Society for Osteoporosis, Mineral Metabolism and Bone Diseases (SIOMMS),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7739EF">
        <w:rPr>
          <w:rFonts w:ascii="Times New Roman" w:eastAsia="Times New Roman" w:hAnsi="Times New Roman"/>
          <w:lang w:eastAsia="pl-PL"/>
        </w:rPr>
        <w:t>Polskie Towarzystwo Reumatologiczne (PTR),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709"/>
        <w:jc w:val="both"/>
        <w:rPr>
          <w:rFonts w:ascii="Times New Roman" w:eastAsia="Times New Roman" w:hAnsi="Times New Roman"/>
          <w:lang w:val="en-US" w:eastAsia="pl-PL"/>
        </w:rPr>
      </w:pPr>
      <w:r w:rsidRPr="007739EF">
        <w:rPr>
          <w:rFonts w:ascii="Times New Roman" w:eastAsia="Times New Roman" w:hAnsi="Times New Roman"/>
          <w:lang w:val="en-US" w:eastAsia="pl-PL"/>
        </w:rPr>
        <w:t xml:space="preserve">Scottish </w:t>
      </w:r>
      <w:proofErr w:type="spellStart"/>
      <w:r w:rsidRPr="007739EF">
        <w:rPr>
          <w:rFonts w:ascii="Times New Roman" w:eastAsia="Times New Roman" w:hAnsi="Times New Roman"/>
          <w:lang w:val="en-US" w:eastAsia="pl-PL"/>
        </w:rPr>
        <w:t>Intercollegate</w:t>
      </w:r>
      <w:proofErr w:type="spellEnd"/>
      <w:r w:rsidRPr="007739EF">
        <w:rPr>
          <w:rFonts w:ascii="Times New Roman" w:eastAsia="Times New Roman" w:hAnsi="Times New Roman"/>
          <w:lang w:val="en-US" w:eastAsia="pl-PL"/>
        </w:rPr>
        <w:t xml:space="preserve"> </w:t>
      </w:r>
      <w:proofErr w:type="spellStart"/>
      <w:r w:rsidRPr="007739EF">
        <w:rPr>
          <w:rFonts w:ascii="Times New Roman" w:eastAsia="Times New Roman" w:hAnsi="Times New Roman"/>
          <w:lang w:val="en-US" w:eastAsia="pl-PL"/>
        </w:rPr>
        <w:t>Guidlines</w:t>
      </w:r>
      <w:proofErr w:type="spellEnd"/>
      <w:r w:rsidRPr="007739EF">
        <w:rPr>
          <w:rFonts w:ascii="Times New Roman" w:eastAsia="Times New Roman" w:hAnsi="Times New Roman"/>
          <w:lang w:val="en-US" w:eastAsia="pl-PL"/>
        </w:rPr>
        <w:t xml:space="preserve"> Network (SIGN),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709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7739EF">
        <w:rPr>
          <w:rFonts w:ascii="Times New Roman" w:eastAsia="Times New Roman" w:hAnsi="Times New Roman"/>
          <w:lang w:eastAsia="pl-PL"/>
        </w:rPr>
        <w:t>National</w:t>
      </w:r>
      <w:proofErr w:type="spellEnd"/>
      <w:r w:rsidRPr="007739EF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7739EF">
        <w:rPr>
          <w:rFonts w:ascii="Times New Roman" w:eastAsia="Times New Roman" w:hAnsi="Times New Roman"/>
          <w:lang w:eastAsia="pl-PL"/>
        </w:rPr>
        <w:t>Osteoporosis</w:t>
      </w:r>
      <w:proofErr w:type="spellEnd"/>
      <w:r w:rsidRPr="007739EF">
        <w:rPr>
          <w:rFonts w:ascii="Times New Roman" w:eastAsia="Times New Roman" w:hAnsi="Times New Roman"/>
          <w:lang w:eastAsia="pl-PL"/>
        </w:rPr>
        <w:t xml:space="preserve"> Foundation (NOF).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Identyfikacją pacjentów zagrożonych złamaniami oraz skierowaniem ich do poradni leczenia osteoporozy lub innych specjalistów zajmujących się jej leczeniem powinni zajmować się o lekarze podstawowej opieki zdrowotnej. Podejmując decyzję o przekazaniu pacjenta specjalistom powinni oni brać pod uwagę wyniki badania lekarskiego (w tym pomiaru wzrostu) i wywiadu dotyczącego złamań, upadków oraz oszacowania ryzyka złamań kalkulatorem FRAX-BMI dla populacji polskiej. U osób z niskim ryzykiem i bez złamań do kompetencji lekarza opieki podstawowej należą głównie działania profilaktyczne i edukacyjne</w:t>
      </w:r>
      <w:r w:rsidRPr="007739EF">
        <w:rPr>
          <w:rStyle w:val="Odwoanieprzypisudolnego"/>
          <w:rFonts w:ascii="Times New Roman" w:hAnsi="Times New Roman"/>
        </w:rPr>
        <w:footnoteReference w:id="29"/>
      </w:r>
      <w:r w:rsidRPr="007739EF">
        <w:rPr>
          <w:rFonts w:ascii="Times New Roman" w:hAnsi="Times New Roman"/>
        </w:rPr>
        <w:t>.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Wytyczne NICE wskazują, że należy rozważyć ocenę ryzyka złamania u wszystkich kobiet ≥ 65 r.ż. oraz mężczyzn ≥ 75 r.ż., w związku z czym populację docelową określoną w programie należy uznać za zgodną z rekomendacjami naukowymi. FRAX jest narzędziem służącym ocenie 10-letniego ryzyka złamania kości biodrowej lub innego złamania głównego, w tym złamania kręgosłupa, szyjki kości udowej, przedramienia lub kości ramiennej. W opinii SIOMMS 2016 FRAX uznane jest za przydatne narzędzie służące łatwemu oszacowaniu długoterminowego ryzyka złamania, z kolei wg ESCEO/IOF 2013 jest to narzędzie preferowane do przeprowadzenia właściwej oceny ryzyka złamania. Według polskich ekspertów FRAX może być stosowany jako narzędzie pomocnicze w ocenie klinicznej indywidualnego pacjenta. Nie jest to jednak ostateczny i jedyny sposób podejmowania decyzji, szczególnie w kontekście prowadzenia terapii farmakologicznej, gdyż ma wiele ograniczeń naukowych i praktycznych</w:t>
      </w:r>
      <w:r w:rsidRPr="007739EF">
        <w:rPr>
          <w:rStyle w:val="Odwoanieprzypisudolnego"/>
          <w:rFonts w:ascii="Times New Roman" w:hAnsi="Times New Roman"/>
        </w:rPr>
        <w:footnoteReference w:id="30"/>
      </w:r>
      <w:r w:rsidRPr="007739EF">
        <w:rPr>
          <w:rFonts w:ascii="Times New Roman" w:hAnsi="Times New Roman"/>
        </w:rPr>
        <w:t>.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Badanie densytometryczne DXA pozostaje „złotym standardem” w rozpoznaniu osteoporozy. Światowa Organizacji Zdrowia (WHO, World </w:t>
      </w:r>
      <w:proofErr w:type="spellStart"/>
      <w:r w:rsidRPr="007739EF">
        <w:rPr>
          <w:rFonts w:ascii="Times New Roman" w:hAnsi="Times New Roman"/>
        </w:rPr>
        <w:t>Health</w:t>
      </w:r>
      <w:proofErr w:type="spellEnd"/>
      <w:r w:rsidRPr="007739EF">
        <w:rPr>
          <w:rFonts w:ascii="Times New Roman" w:hAnsi="Times New Roman"/>
        </w:rPr>
        <w:t xml:space="preserve"> Organization) podaje następujące kryteria densytometryczne rozpoznawania osteoporozy na podstawie pomiaru BMD techniką DXA bliższego końca kości udowej (lub kręgów) u kobiet po menopauzie [wskaźnik T (T-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>) wyrażany jako liczba odchyleń standardowych w stosunku do punktu odniesienia, jaki stanowi szczytowa masa kostna)</w:t>
      </w:r>
      <w:r w:rsidRPr="007739EF">
        <w:rPr>
          <w:rStyle w:val="Odwoanieprzypisudolnego"/>
          <w:rFonts w:ascii="Times New Roman" w:hAnsi="Times New Roman"/>
        </w:rPr>
        <w:footnoteReference w:id="31"/>
      </w:r>
      <w:r w:rsidRPr="007739EF">
        <w:rPr>
          <w:rFonts w:ascii="Times New Roman" w:hAnsi="Times New Roman"/>
        </w:rPr>
        <w:t>:</w:t>
      </w:r>
    </w:p>
    <w:p w:rsidR="007C5657" w:rsidRPr="007739EF" w:rsidRDefault="008E6AD5">
      <w:pPr>
        <w:tabs>
          <w:tab w:val="left" w:pos="851"/>
        </w:tabs>
        <w:spacing w:before="96" w:after="96"/>
        <w:ind w:firstLine="42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• 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 xml:space="preserve"> &gt; –1 SD — wartość prawidłowa,</w:t>
      </w:r>
    </w:p>
    <w:p w:rsidR="007C5657" w:rsidRPr="007739EF" w:rsidRDefault="008E6AD5">
      <w:pPr>
        <w:tabs>
          <w:tab w:val="left" w:pos="851"/>
        </w:tabs>
        <w:spacing w:before="96" w:after="96"/>
        <w:ind w:firstLine="42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• 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 xml:space="preserve"> od –1 do –2,5 SD — osteopenia,</w:t>
      </w:r>
    </w:p>
    <w:p w:rsidR="007C5657" w:rsidRPr="007739EF" w:rsidRDefault="008E6AD5">
      <w:pPr>
        <w:tabs>
          <w:tab w:val="left" w:pos="851"/>
        </w:tabs>
        <w:spacing w:before="96" w:after="96"/>
        <w:ind w:firstLine="42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>• 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 xml:space="preserve"> ≤ –2,5 SD — osteoporoza,</w:t>
      </w:r>
    </w:p>
    <w:p w:rsidR="007C5657" w:rsidRPr="007739EF" w:rsidRDefault="008E6AD5">
      <w:pPr>
        <w:tabs>
          <w:tab w:val="left" w:pos="851"/>
        </w:tabs>
        <w:spacing w:before="96" w:after="96"/>
        <w:ind w:firstLine="42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• 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 xml:space="preserve"> ≤ –2,5 SD i złamanie </w:t>
      </w:r>
      <w:proofErr w:type="spellStart"/>
      <w:r w:rsidRPr="007739EF">
        <w:rPr>
          <w:rFonts w:ascii="Times New Roman" w:hAnsi="Times New Roman"/>
        </w:rPr>
        <w:t>osteoporotyczne</w:t>
      </w:r>
      <w:proofErr w:type="spellEnd"/>
      <w:r w:rsidRPr="007739EF">
        <w:rPr>
          <w:rFonts w:ascii="Times New Roman" w:hAnsi="Times New Roman"/>
        </w:rPr>
        <w:t xml:space="preserve"> — osteoporoza zaawansowana.</w:t>
      </w:r>
    </w:p>
    <w:p w:rsidR="007C5657" w:rsidRPr="007739EF" w:rsidRDefault="008E6AD5">
      <w:p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Zgodnie z opinią polskich ekspertów badania DXA niezależnie od płci i wieku powinny być wykonywane i interpretowane zgodnie z zaleceniami International </w:t>
      </w:r>
      <w:proofErr w:type="spellStart"/>
      <w:r w:rsidRPr="007739EF">
        <w:rPr>
          <w:rFonts w:ascii="Times New Roman" w:hAnsi="Times New Roman"/>
        </w:rPr>
        <w:t>Society</w:t>
      </w:r>
      <w:proofErr w:type="spellEnd"/>
      <w:r w:rsidRPr="007739EF">
        <w:rPr>
          <w:rFonts w:ascii="Times New Roman" w:hAnsi="Times New Roman"/>
        </w:rPr>
        <w:t xml:space="preserve"> for </w:t>
      </w:r>
      <w:proofErr w:type="spellStart"/>
      <w:r w:rsidRPr="007739EF">
        <w:rPr>
          <w:rFonts w:ascii="Times New Roman" w:hAnsi="Times New Roman"/>
        </w:rPr>
        <w:t>Clinical</w:t>
      </w:r>
      <w:proofErr w:type="spellEnd"/>
      <w:r w:rsidRPr="007739EF">
        <w:rPr>
          <w:rFonts w:ascii="Times New Roman" w:hAnsi="Times New Roman"/>
        </w:rPr>
        <w:t xml:space="preserve"> </w:t>
      </w:r>
      <w:proofErr w:type="spellStart"/>
      <w:r w:rsidRPr="007739EF">
        <w:rPr>
          <w:rFonts w:ascii="Times New Roman" w:hAnsi="Times New Roman"/>
        </w:rPr>
        <w:t>Densitometry</w:t>
      </w:r>
      <w:proofErr w:type="spellEnd"/>
      <w:r w:rsidRPr="007739EF">
        <w:rPr>
          <w:rFonts w:ascii="Times New Roman" w:hAnsi="Times New Roman"/>
        </w:rPr>
        <w:t xml:space="preserve"> (ISCD). Wg Polskiego Towarzystwa Reumatologicznego (PTR) standardowo zaleca się wykonywanie badania DXA jednocześnie w obu lokalizacjach centralnych: kręgosłup i biodro</w:t>
      </w:r>
      <w:r w:rsidRPr="007739EF">
        <w:rPr>
          <w:rStyle w:val="Odwoanieprzypisudolnego"/>
          <w:rFonts w:ascii="Times New Roman" w:hAnsi="Times New Roman"/>
        </w:rPr>
        <w:footnoteReference w:id="32"/>
      </w:r>
      <w:r w:rsidRPr="007739EF">
        <w:rPr>
          <w:rFonts w:ascii="Times New Roman" w:hAnsi="Times New Roman"/>
        </w:rPr>
        <w:t xml:space="preserve">. </w:t>
      </w:r>
    </w:p>
    <w:p w:rsidR="007C5657" w:rsidRPr="007739EF" w:rsidRDefault="008E6AD5">
      <w:pPr>
        <w:spacing w:before="96" w:after="96"/>
        <w:jc w:val="both"/>
        <w:rPr>
          <w:rFonts w:ascii="Times New Roman" w:hAnsi="Times New Roman"/>
          <w:b/>
        </w:rPr>
      </w:pPr>
      <w:r w:rsidRPr="007739EF">
        <w:rPr>
          <w:rFonts w:ascii="Times New Roman" w:hAnsi="Times New Roman"/>
        </w:rPr>
        <w:tab/>
        <w:t xml:space="preserve">Istotna w profilaktyce osteoporozy pozostaje także edukacja zdrowotna pacjentów. Wykazuje się korzystny efekt zaangażowania personelu medycznego w tym obszarze. W przeglądzie badań RCT, </w:t>
      </w:r>
      <w:proofErr w:type="spellStart"/>
      <w:r w:rsidRPr="007739EF">
        <w:rPr>
          <w:rFonts w:ascii="Times New Roman" w:hAnsi="Times New Roman"/>
        </w:rPr>
        <w:t>kohortowych</w:t>
      </w:r>
      <w:proofErr w:type="spellEnd"/>
      <w:r w:rsidRPr="007739EF">
        <w:rPr>
          <w:rFonts w:ascii="Times New Roman" w:hAnsi="Times New Roman"/>
        </w:rPr>
        <w:t xml:space="preserve">, prospektywnych obserwacyjnych Bell i </w:t>
      </w:r>
      <w:proofErr w:type="spellStart"/>
      <w:r w:rsidRPr="007739EF">
        <w:rPr>
          <w:rFonts w:ascii="Times New Roman" w:hAnsi="Times New Roman"/>
        </w:rPr>
        <w:t>wsp</w:t>
      </w:r>
      <w:proofErr w:type="spellEnd"/>
      <w:r w:rsidRPr="007739EF">
        <w:rPr>
          <w:rFonts w:ascii="Times New Roman" w:hAnsi="Times New Roman"/>
        </w:rPr>
        <w:t>. zaobserwowano wzrost liczby wykonanych przesiewowych badań BMD w grupie, w której personel medyczny wyspecjalizowany w profilaktyce osteoporozy był prowadził z pacjentami rozmowy, edukację w zakresie zmian stylu życia, diagnostyki i leczenia</w:t>
      </w:r>
      <w:r w:rsidRPr="007739EF">
        <w:rPr>
          <w:rStyle w:val="Odwoanieprzypisudolnego"/>
          <w:rFonts w:ascii="Times New Roman" w:hAnsi="Times New Roman"/>
        </w:rPr>
        <w:footnoteReference w:id="33"/>
      </w:r>
      <w:r w:rsidRPr="007739EF">
        <w:rPr>
          <w:rStyle w:val="Odwoanieprzypisudolnego"/>
          <w:rFonts w:ascii="Times New Roman" w:hAnsi="Times New Roman"/>
        </w:rPr>
        <w:footnoteReference w:id="34"/>
      </w:r>
      <w:r w:rsidRPr="007739EF">
        <w:rPr>
          <w:rFonts w:ascii="Times New Roman" w:hAnsi="Times New Roman"/>
        </w:rPr>
        <w:t>.</w:t>
      </w:r>
    </w:p>
    <w:p w:rsidR="007C5657" w:rsidRPr="007739EF" w:rsidRDefault="007C5657">
      <w:pPr>
        <w:spacing w:before="96" w:after="96"/>
        <w:rPr>
          <w:rFonts w:ascii="Times New Roman" w:hAnsi="Times New Roman"/>
        </w:rPr>
        <w:sectPr w:rsidR="007C5657" w:rsidRPr="007739EF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C5657" w:rsidRPr="007739EF" w:rsidRDefault="008E6AD5">
      <w:pPr>
        <w:pStyle w:val="Nagwek2"/>
        <w:spacing w:before="96" w:after="96"/>
        <w:rPr>
          <w:rFonts w:ascii="Times New Roman" w:hAnsi="Times New Roman" w:cs="Times New Roman"/>
          <w:szCs w:val="24"/>
        </w:rPr>
      </w:pPr>
      <w:bookmarkStart w:id="20" w:name="_Toc126153318"/>
      <w:r w:rsidRPr="007739EF">
        <w:rPr>
          <w:rFonts w:ascii="Times New Roman" w:hAnsi="Times New Roman" w:cs="Times New Roman"/>
          <w:szCs w:val="24"/>
        </w:rPr>
        <w:lastRenderedPageBreak/>
        <w:t>4. Sposób udzielania świadczeń w ramach programu polityki zdrowotnej</w:t>
      </w:r>
      <w:bookmarkEnd w:id="20"/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Świadczenia zdrowotne udzielane w ramach PPZ zostaną zrealizowane zgodnie z obowiązującymi przepisami prawa. Realizatorzy programu wyłonieni zostaną w ramach ogłoszonego konkursu ofert. Ocena ryzyka złamań kości oraz badania DXA będą odbywały się ambulatoryjnie w gabinetach w siedzibie realizatora lub w gabinecie mobilnym, spełniającym wszystkie obowiązujące prawnie wymagania do realizacji planowanych w Programie świadczeń. W ramach akcji informacyjnej zostaną przekazane mieszkańcom terminy działań edukacyjnych oraz ww. interwencji z zakresu profilaktyki wtórnej osteoporozy. W ramach akcji edukacyjnej na terenie gminy prowadzone będą wykłady z zakresu profilaktyki osteoporozy w populacji docelowej. </w:t>
      </w:r>
    </w:p>
    <w:p w:rsidR="007C5657" w:rsidRPr="007739EF" w:rsidRDefault="007C5657">
      <w:pPr>
        <w:pStyle w:val="Nagwek2"/>
        <w:spacing w:before="96" w:after="96"/>
        <w:jc w:val="both"/>
        <w:rPr>
          <w:rFonts w:ascii="Times New Roman" w:hAnsi="Times New Roman" w:cs="Times New Roman"/>
          <w:szCs w:val="24"/>
        </w:rPr>
      </w:pPr>
    </w:p>
    <w:p w:rsidR="007C5657" w:rsidRPr="007739EF" w:rsidRDefault="008E6AD5">
      <w:pPr>
        <w:pStyle w:val="Nagwek2"/>
        <w:spacing w:before="96" w:after="96"/>
        <w:jc w:val="both"/>
        <w:rPr>
          <w:rFonts w:ascii="Times New Roman" w:hAnsi="Times New Roman" w:cs="Times New Roman"/>
          <w:szCs w:val="24"/>
        </w:rPr>
      </w:pPr>
      <w:bookmarkStart w:id="21" w:name="_Toc126153319"/>
      <w:r w:rsidRPr="007739EF">
        <w:rPr>
          <w:rFonts w:ascii="Times New Roman" w:hAnsi="Times New Roman" w:cs="Times New Roman"/>
          <w:szCs w:val="24"/>
        </w:rPr>
        <w:t>5. Sposób zakończenia działań w programie i możliwość kontynuacji otrzymywania świadczeń zdrowotnych przez uczestników programu, jeżeli istnieją wskazania</w:t>
      </w:r>
      <w:bookmarkEnd w:id="21"/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  <w:color w:val="0070C0"/>
        </w:rPr>
        <w:tab/>
      </w:r>
      <w:r w:rsidRPr="007739EF">
        <w:rPr>
          <w:rFonts w:ascii="Times New Roman" w:hAnsi="Times New Roman"/>
        </w:rPr>
        <w:t xml:space="preserve">W przypadku osób, które nie kwalifikują się do oceny ryzyka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za pomocą narzędzia FRAX udział w programie kończy się wraz z zakończeniem udziału w działaniach informacyjno-edukacyjnych.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 xml:space="preserve">W przypadku osób, które kwalifikują się do oceny ryzyka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za pomocą narzędzia FRAX udział w programie kończy się</w:t>
      </w:r>
    </w:p>
    <w:p w:rsidR="007C5657" w:rsidRPr="007739EF" w:rsidRDefault="008E6AD5">
      <w:pPr>
        <w:pStyle w:val="Akapitzlist"/>
        <w:numPr>
          <w:ilvl w:val="0"/>
          <w:numId w:val="11"/>
        </w:num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wraz z uzyskaniem wyniku mniejszego niż 5%,</w:t>
      </w:r>
    </w:p>
    <w:p w:rsidR="007C5657" w:rsidRPr="007739EF" w:rsidRDefault="008E6AD5">
      <w:pPr>
        <w:pStyle w:val="Akapitzlist"/>
        <w:numPr>
          <w:ilvl w:val="0"/>
          <w:numId w:val="11"/>
        </w:num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lub wraz ze zidentyfikowaniem przeciwwskazania do wykonania pomiaru DXA,</w:t>
      </w:r>
    </w:p>
    <w:p w:rsidR="007C5657" w:rsidRPr="007739EF" w:rsidRDefault="008E6AD5">
      <w:pPr>
        <w:pStyle w:val="Akapitzlist"/>
        <w:numPr>
          <w:ilvl w:val="0"/>
          <w:numId w:val="11"/>
        </w:numPr>
        <w:tabs>
          <w:tab w:val="left" w:pos="567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lub wraz z zakończeniem lekarskiej wizyty podsumowującej.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Możliwe jest również zakończenie udziału w PPZ poprzez zgłoszenie takiej chęci przez uczestnika na każdym etapie Programu. Wraz z zakończeniem udziału w programie polityki zdrowotnej każdemu z uczestników należy przekazać zindywidualizowane zalecenia odnośnie dalszego postępowania.</w:t>
      </w:r>
    </w:p>
    <w:p w:rsidR="007C5657" w:rsidRPr="007739EF" w:rsidRDefault="007C5657">
      <w:pPr>
        <w:pStyle w:val="Akapitzlist"/>
        <w:tabs>
          <w:tab w:val="left" w:pos="567"/>
        </w:tabs>
        <w:spacing w:before="96" w:after="96"/>
        <w:ind w:left="0"/>
        <w:jc w:val="both"/>
        <w:rPr>
          <w:rFonts w:ascii="Times New Roman" w:hAnsi="Times New Roman"/>
          <w:color w:val="0070C0"/>
        </w:rPr>
      </w:pPr>
    </w:p>
    <w:p w:rsidR="007C5657" w:rsidRPr="007739EF" w:rsidRDefault="007C5657">
      <w:pPr>
        <w:pStyle w:val="Akapitzlist"/>
        <w:tabs>
          <w:tab w:val="left" w:pos="567"/>
        </w:tabs>
        <w:spacing w:before="96" w:after="96"/>
        <w:ind w:left="0"/>
        <w:jc w:val="both"/>
        <w:rPr>
          <w:rFonts w:ascii="Times New Roman" w:hAnsi="Times New Roman"/>
        </w:rPr>
      </w:pPr>
    </w:p>
    <w:p w:rsidR="007C5657" w:rsidRPr="007739EF" w:rsidRDefault="007C5657">
      <w:pPr>
        <w:pStyle w:val="Akapitzlist"/>
        <w:tabs>
          <w:tab w:val="left" w:pos="567"/>
        </w:tabs>
        <w:spacing w:before="96" w:after="96"/>
        <w:ind w:left="0"/>
        <w:jc w:val="both"/>
        <w:rPr>
          <w:rFonts w:ascii="Times New Roman" w:hAnsi="Times New Roman"/>
        </w:rPr>
      </w:pPr>
    </w:p>
    <w:p w:rsidR="007C5657" w:rsidRPr="007739EF" w:rsidRDefault="007C5657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</w:p>
    <w:p w:rsidR="007C5657" w:rsidRPr="007739EF" w:rsidRDefault="007C5657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</w:p>
    <w:p w:rsidR="007C5657" w:rsidRPr="007739EF" w:rsidRDefault="007C5657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  <w:sectPr w:rsidR="007C5657" w:rsidRPr="007739EF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C5657" w:rsidRPr="007739EF" w:rsidRDefault="008E6AD5">
      <w:pPr>
        <w:pStyle w:val="Nagwek1"/>
        <w:spacing w:before="96" w:after="96"/>
        <w:rPr>
          <w:rFonts w:ascii="Times New Roman" w:hAnsi="Times New Roman"/>
          <w:szCs w:val="24"/>
          <w:lang w:val="pl-PL"/>
        </w:rPr>
      </w:pPr>
      <w:bookmarkStart w:id="22" w:name="_Toc126153320"/>
      <w:r w:rsidRPr="007739EF">
        <w:rPr>
          <w:rFonts w:ascii="Times New Roman" w:hAnsi="Times New Roman"/>
          <w:szCs w:val="24"/>
          <w:lang w:val="pl-PL"/>
        </w:rPr>
        <w:lastRenderedPageBreak/>
        <w:t xml:space="preserve">IV. </w:t>
      </w:r>
      <w:r w:rsidRPr="007739EF">
        <w:rPr>
          <w:rStyle w:val="Nagwek1Znak"/>
          <w:rFonts w:ascii="Times New Roman" w:eastAsiaTheme="minorHAnsi" w:hAnsi="Times New Roman"/>
          <w:b/>
          <w:szCs w:val="24"/>
          <w:lang w:val="pl-PL"/>
        </w:rPr>
        <w:t>Organizacja programu</w:t>
      </w:r>
      <w:r w:rsidRPr="007739EF">
        <w:rPr>
          <w:rStyle w:val="Nagwek1Znak"/>
          <w:rFonts w:ascii="Times New Roman" w:hAnsi="Times New Roman"/>
          <w:b/>
          <w:szCs w:val="24"/>
          <w:lang w:val="pl-PL"/>
        </w:rPr>
        <w:t xml:space="preserve"> polityki zdrowotnej</w:t>
      </w:r>
      <w:bookmarkEnd w:id="22"/>
    </w:p>
    <w:p w:rsidR="007C5657" w:rsidRPr="007739EF" w:rsidRDefault="007C5657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</w:p>
    <w:p w:rsidR="007C5657" w:rsidRPr="007739EF" w:rsidRDefault="008E6AD5">
      <w:pPr>
        <w:pStyle w:val="Nagwek2"/>
        <w:spacing w:before="96" w:after="96"/>
        <w:rPr>
          <w:rFonts w:ascii="Times New Roman" w:hAnsi="Times New Roman" w:cs="Times New Roman"/>
          <w:szCs w:val="24"/>
        </w:rPr>
      </w:pPr>
      <w:bookmarkStart w:id="23" w:name="_Toc126153321"/>
      <w:r w:rsidRPr="007739EF">
        <w:rPr>
          <w:rFonts w:ascii="Times New Roman" w:hAnsi="Times New Roman" w:cs="Times New Roman"/>
          <w:szCs w:val="24"/>
        </w:rPr>
        <w:t>1. Części składowe, etapy i działania organizacyjne:</w:t>
      </w:r>
      <w:bookmarkEnd w:id="23"/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Opracowanie projektu programu polityki zdrowotnej (I kwartał 2023);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Przesłanie oświadczenia do </w:t>
      </w:r>
      <w:proofErr w:type="spellStart"/>
      <w:r w:rsidRPr="007739EF">
        <w:rPr>
          <w:rFonts w:ascii="Times New Roman" w:hAnsi="Times New Roman"/>
        </w:rPr>
        <w:t>AOTMiT</w:t>
      </w:r>
      <w:proofErr w:type="spellEnd"/>
      <w:r w:rsidRPr="007739EF">
        <w:rPr>
          <w:rFonts w:ascii="Times New Roman" w:hAnsi="Times New Roman"/>
        </w:rPr>
        <w:t xml:space="preserve"> o zgodności projektu z Rekomendacja nr 9/2020 Prezesa </w:t>
      </w:r>
      <w:proofErr w:type="spellStart"/>
      <w:r w:rsidRPr="007739EF">
        <w:rPr>
          <w:rFonts w:ascii="Times New Roman" w:hAnsi="Times New Roman"/>
        </w:rPr>
        <w:t>AOTMiT</w:t>
      </w:r>
      <w:proofErr w:type="spellEnd"/>
      <w:r w:rsidRPr="007739EF">
        <w:rPr>
          <w:rFonts w:ascii="Times New Roman" w:hAnsi="Times New Roman"/>
        </w:rPr>
        <w:t xml:space="preserve"> z dnia 30 listopada 2020 r. w sprawie zalecanych technologii medycznych, działań przeprowadzanych w ramach programów polityki zdrowotnej oraz warunków realizacji tych programów, dotyczących wykrywania osteoporozy (I kwartał 2023);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Złożenie wniosku o dofinansowanie programu przez Ministerstwo Zdrowia w ramach Subfunduszu rozwoju profilaktyki, wyodrębnionego w ramach Funduszu Medycznego (I kwartał 2023);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  <w:color w:val="000000"/>
        </w:rPr>
      </w:pPr>
      <w:r w:rsidRPr="007739EF">
        <w:rPr>
          <w:rFonts w:ascii="Times New Roman" w:hAnsi="Times New Roman"/>
          <w:color w:val="000000"/>
        </w:rPr>
        <w:t>Uchwalenie programu przez organ uchwałodawczy gminy (IV kwartał 2023);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  <w:color w:val="000000"/>
        </w:rPr>
      </w:pPr>
      <w:r w:rsidRPr="007739EF">
        <w:rPr>
          <w:rFonts w:ascii="Times New Roman" w:hAnsi="Times New Roman"/>
          <w:color w:val="000000"/>
        </w:rPr>
        <w:t>Powołanie Rady ds. programu polityki zdrowotnej (IV kwartał 2023);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  <w:color w:val="000000"/>
        </w:rPr>
      </w:pPr>
      <w:r w:rsidRPr="007739EF">
        <w:rPr>
          <w:rFonts w:ascii="Times New Roman" w:hAnsi="Times New Roman"/>
          <w:color w:val="000000"/>
        </w:rPr>
        <w:t>Podpisanie umowy o dofinansowanie programu przez Ministerstwo Zdrowia (IV kwartał 2023);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Przygotowanie i przeprowadzenie procedury konkursowej - wyłonienie realizującego program podmiotu leczniczego, spełniającego warunki określone w dalszej części projektu; (IV kwartał 2023);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Podpisanie umowy na realizację programu (IV kwartał 2023); 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Realizacja programu wraz z bieżącym monitoringiem (2023-2025):</w:t>
      </w:r>
    </w:p>
    <w:p w:rsidR="007C5657" w:rsidRPr="007739EF" w:rsidRDefault="008E6AD5">
      <w:pPr>
        <w:pStyle w:val="Akapitzlist"/>
        <w:numPr>
          <w:ilvl w:val="1"/>
          <w:numId w:val="15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etap I – szkolenia personelu,</w:t>
      </w:r>
    </w:p>
    <w:p w:rsidR="007C5657" w:rsidRPr="007739EF" w:rsidRDefault="008E6AD5">
      <w:pPr>
        <w:pStyle w:val="Akapitzlist"/>
        <w:numPr>
          <w:ilvl w:val="1"/>
          <w:numId w:val="15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etap II – działania informacyjno-edukacyjne,</w:t>
      </w:r>
    </w:p>
    <w:p w:rsidR="007C5657" w:rsidRPr="007739EF" w:rsidRDefault="008E6AD5">
      <w:pPr>
        <w:pStyle w:val="Akapitzlist"/>
        <w:numPr>
          <w:ilvl w:val="1"/>
          <w:numId w:val="15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etap III – Ocena ryzyka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narzędziem FRAX,</w:t>
      </w:r>
    </w:p>
    <w:p w:rsidR="007C5657" w:rsidRPr="007739EF" w:rsidRDefault="008E6AD5">
      <w:pPr>
        <w:pStyle w:val="Akapitzlist"/>
        <w:numPr>
          <w:ilvl w:val="1"/>
          <w:numId w:val="15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etap IV – pomiar BMD za pomocą DXA,</w:t>
      </w:r>
    </w:p>
    <w:p w:rsidR="007C5657" w:rsidRPr="007739EF" w:rsidRDefault="008E6AD5">
      <w:pPr>
        <w:pStyle w:val="Akapitzlist"/>
        <w:numPr>
          <w:ilvl w:val="1"/>
          <w:numId w:val="15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etap V – lekarska wizyta podsumowująca,</w:t>
      </w:r>
    </w:p>
    <w:p w:rsidR="007C5657" w:rsidRPr="007739EF" w:rsidRDefault="008E6AD5">
      <w:pPr>
        <w:pStyle w:val="Akapitzlist"/>
        <w:numPr>
          <w:ilvl w:val="1"/>
          <w:numId w:val="15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bieżące zbieranie danych dot. realizowanych działań, umożliwiających monitorowanie programu i jego późniejszą ewaluację;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 Ewaluacja (I kwartał 2026):</w:t>
      </w:r>
    </w:p>
    <w:p w:rsidR="007C5657" w:rsidRPr="007739EF" w:rsidRDefault="008E6AD5">
      <w:pPr>
        <w:pStyle w:val="Akapitzlist"/>
        <w:numPr>
          <w:ilvl w:val="1"/>
          <w:numId w:val="14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analiza efektywności działań z zakresu edukacji zdrowotnej na podstawie wyników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-testów oraz post-testów,</w:t>
      </w:r>
    </w:p>
    <w:p w:rsidR="007C5657" w:rsidRPr="007739EF" w:rsidRDefault="008E6AD5">
      <w:pPr>
        <w:pStyle w:val="Akapitzlist"/>
        <w:numPr>
          <w:ilvl w:val="1"/>
          <w:numId w:val="14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analiza zgłaszalności na podstawie sprawozdań realizatora,</w:t>
      </w:r>
    </w:p>
    <w:p w:rsidR="007C5657" w:rsidRPr="007739EF" w:rsidRDefault="008E6AD5">
      <w:pPr>
        <w:pStyle w:val="Akapitzlist"/>
        <w:numPr>
          <w:ilvl w:val="1"/>
          <w:numId w:val="14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analiza jakości udzielanych świadczeń na podstawie wyników ankiety satysfakcji uczestników,</w:t>
      </w:r>
    </w:p>
    <w:p w:rsidR="007C5657" w:rsidRPr="007739EF" w:rsidRDefault="008E6AD5">
      <w:pPr>
        <w:pStyle w:val="Akapitzlist"/>
        <w:numPr>
          <w:ilvl w:val="1"/>
          <w:numId w:val="14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ocena efektywności programu na podstawie analizy wskazanych mierników efektywności;</w:t>
      </w:r>
    </w:p>
    <w:p w:rsidR="007C5657" w:rsidRPr="007739EF" w:rsidRDefault="008E6AD5">
      <w:pPr>
        <w:pStyle w:val="Akapitzlist"/>
        <w:numPr>
          <w:ilvl w:val="0"/>
          <w:numId w:val="14"/>
        </w:num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 Przygotowanie raportu końcowego z realizacji programu polityki zdrowotnej (I kwartał 2026).</w:t>
      </w:r>
    </w:p>
    <w:p w:rsidR="007C5657" w:rsidRPr="007739EF" w:rsidRDefault="007C5657">
      <w:p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</w:p>
    <w:p w:rsidR="007C5657" w:rsidRPr="007739EF" w:rsidRDefault="007C5657">
      <w:pPr>
        <w:tabs>
          <w:tab w:val="left" w:pos="1160"/>
        </w:tabs>
        <w:spacing w:before="96" w:after="96"/>
        <w:jc w:val="both"/>
        <w:rPr>
          <w:rFonts w:ascii="Times New Roman" w:hAnsi="Times New Roman"/>
          <w:b/>
        </w:rPr>
      </w:pPr>
    </w:p>
    <w:p w:rsidR="007C5657" w:rsidRPr="007739EF" w:rsidRDefault="007C5657">
      <w:pPr>
        <w:tabs>
          <w:tab w:val="left" w:pos="1160"/>
        </w:tabs>
        <w:spacing w:before="96" w:after="96"/>
        <w:jc w:val="both"/>
        <w:rPr>
          <w:rFonts w:ascii="Times New Roman" w:hAnsi="Times New Roman"/>
          <w:b/>
        </w:rPr>
      </w:pPr>
    </w:p>
    <w:p w:rsidR="007C5657" w:rsidRPr="007739EF" w:rsidRDefault="007C5657">
      <w:pPr>
        <w:tabs>
          <w:tab w:val="left" w:pos="1160"/>
        </w:tabs>
        <w:spacing w:before="96" w:after="96"/>
        <w:jc w:val="both"/>
        <w:rPr>
          <w:rFonts w:ascii="Times New Roman" w:hAnsi="Times New Roman"/>
          <w:b/>
        </w:rPr>
      </w:pPr>
    </w:p>
    <w:p w:rsidR="007C5657" w:rsidRPr="007739EF" w:rsidRDefault="008E6AD5">
      <w:pPr>
        <w:pStyle w:val="Nagwek2"/>
        <w:spacing w:before="96" w:after="96"/>
        <w:rPr>
          <w:rFonts w:ascii="Times New Roman" w:hAnsi="Times New Roman" w:cs="Times New Roman"/>
          <w:szCs w:val="24"/>
        </w:rPr>
      </w:pPr>
      <w:bookmarkStart w:id="24" w:name="_Toc126153322"/>
      <w:r w:rsidRPr="007739EF">
        <w:rPr>
          <w:rFonts w:ascii="Times New Roman" w:hAnsi="Times New Roman" w:cs="Times New Roman"/>
          <w:szCs w:val="24"/>
        </w:rPr>
        <w:t>2. Warunki realizacji programu polityki zdrowotnej dotyczące personelu, wyposażenia i warunków lokalowych</w:t>
      </w:r>
      <w:bookmarkEnd w:id="24"/>
    </w:p>
    <w:p w:rsidR="007C5657" w:rsidRPr="007739EF" w:rsidRDefault="008E6AD5">
      <w:pPr>
        <w:tabs>
          <w:tab w:val="left" w:pos="709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Koordynatorem programu będzie Gmina Kłodawa. Realizatorem w programie będzie wyłoniony w drodze konkursu ofert podmiot leczniczy, spełniający następujące wymagania:</w:t>
      </w:r>
    </w:p>
    <w:p w:rsidR="007C5657" w:rsidRPr="007739EF" w:rsidRDefault="008E6AD5">
      <w:pPr>
        <w:pStyle w:val="Akapitzlist"/>
        <w:numPr>
          <w:ilvl w:val="0"/>
          <w:numId w:val="16"/>
        </w:num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wpis do rejestru podmiotów wykonujących działalność leczniczą, prowadzonego na podstawie ustawy z dnia 15 kwietnia 2011r. o działalności leczniczej [Dz.U. 2022 poz. 633 z </w:t>
      </w:r>
      <w:proofErr w:type="spellStart"/>
      <w:r w:rsidRPr="007739EF">
        <w:rPr>
          <w:rFonts w:ascii="Times New Roman" w:hAnsi="Times New Roman"/>
        </w:rPr>
        <w:t>późn</w:t>
      </w:r>
      <w:proofErr w:type="spellEnd"/>
      <w:r w:rsidRPr="007739EF">
        <w:rPr>
          <w:rFonts w:ascii="Times New Roman" w:hAnsi="Times New Roman"/>
        </w:rPr>
        <w:t>. zm.];</w:t>
      </w:r>
    </w:p>
    <w:p w:rsidR="007C5657" w:rsidRPr="007739EF" w:rsidRDefault="008E6AD5">
      <w:pPr>
        <w:pStyle w:val="Akapitzlist"/>
        <w:numPr>
          <w:ilvl w:val="0"/>
          <w:numId w:val="16"/>
        </w:num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zasoby rzeczowe:</w:t>
      </w:r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szkolenia personelu medycznego (etap I) – sala wykładowa, sprzęt komputerowy oraz audiowizualny niezbędny dla przeprowadzenia szkolenia, </w:t>
      </w:r>
      <w:bookmarkStart w:id="25" w:name="_Hlk141079730"/>
      <w:r w:rsidRPr="007739EF">
        <w:rPr>
          <w:rFonts w:ascii="Times New Roman" w:hAnsi="Times New Roman"/>
        </w:rPr>
        <w:t>oprogramowanie niezbędne do przeprowadzenia szkolenia w formie e-learningowej,</w:t>
      </w:r>
      <w:bookmarkEnd w:id="25"/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działania informacyjno-edukacyjne (etap II) - sala wykładowa, sprzęt komputerowy oraz audiowizualny niezbędny dla przeprowadzenia wykładu,</w:t>
      </w:r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ocena ryzyka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narzędziem FRAX (etap III) – pomieszczenie zapewniające intymność uczestnikowi programu (dopuszcza się gabinet mobilny), narzędzie FRAX (online),</w:t>
      </w:r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pomiar BMD za pomocą DXA (etap IV) - densytometr DXA do badania kręgosłupa i kości udowej (dopuszcza się mobilne centrum diagnostyki osteoporozy),</w:t>
      </w:r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lekarska wizyta podsumowująca (etap V) – gabinet lekarski (dopuszcza się gabinet mobilny),</w:t>
      </w:r>
    </w:p>
    <w:p w:rsidR="007C5657" w:rsidRPr="007739EF" w:rsidRDefault="008E6AD5">
      <w:pPr>
        <w:pStyle w:val="Akapitzlist"/>
        <w:numPr>
          <w:ilvl w:val="0"/>
          <w:numId w:val="16"/>
        </w:num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  <w:bCs/>
        </w:rPr>
        <w:t>zasoby kadrowe - zapewnienie udzielania świadczeń zdrowotnych w programie wyłącznie przez osoby wykonujące zawód medyczny, w tym:</w:t>
      </w:r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szkolenia personelu medycznego (etap I) - lekarz (optymalnie ze specjalizacją w dziedzinie reumatologii) posiadający doświadczenie w diagnostyce, leczeniu, różnicowaniu i profilaktyce osteoporozy oraz zapobieganiu złamaniom </w:t>
      </w:r>
      <w:proofErr w:type="spellStart"/>
      <w:r w:rsidRPr="007739EF">
        <w:rPr>
          <w:rFonts w:ascii="Times New Roman" w:hAnsi="Times New Roman"/>
        </w:rPr>
        <w:t>osteoporotycznym</w:t>
      </w:r>
      <w:proofErr w:type="spellEnd"/>
      <w:r w:rsidRPr="007739EF">
        <w:rPr>
          <w:rFonts w:ascii="Times New Roman" w:hAnsi="Times New Roman"/>
        </w:rPr>
        <w:t xml:space="preserve"> i upadkom („ekspert”), który jest w stanie odpowiednio przeszkolić personel i w ten sposób zapewnić wysoką jakość interwencji w ramach programu,</w:t>
      </w:r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działania informacyjno-edukacyjne (etap II) - lekarz, fizjoterapeuta pielęgniarka, asystent medyczny, edukator zdrowotny/medyczny lub inny przedstawiciel zawodu medycznego (np. dietetyk, ratownik medyczny, </w:t>
      </w:r>
      <w:proofErr w:type="spellStart"/>
      <w:r w:rsidRPr="007739EF">
        <w:rPr>
          <w:rFonts w:ascii="Times New Roman" w:hAnsi="Times New Roman"/>
        </w:rPr>
        <w:t>elektroradiolog</w:t>
      </w:r>
      <w:proofErr w:type="spellEnd"/>
      <w:r w:rsidRPr="007739EF">
        <w:rPr>
          <w:rFonts w:ascii="Times New Roman" w:hAnsi="Times New Roman"/>
        </w:rPr>
        <w:t>), który posiada odpowiedni zakres wiedzy, doświadczenia i kompetencji dla przeprowadzenia działań informacyjno-edukacyjnych (np. uzyskany w czasie uczestnictwa w szkoleniu prowadzonym przez eksperta w ramach PPZ),</w:t>
      </w:r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ocena ryzyka poważnego złamania </w:t>
      </w:r>
      <w:proofErr w:type="spellStart"/>
      <w:r w:rsidRPr="007739EF">
        <w:rPr>
          <w:rFonts w:ascii="Times New Roman" w:hAnsi="Times New Roman"/>
        </w:rPr>
        <w:t>osteoporotycznego</w:t>
      </w:r>
      <w:proofErr w:type="spellEnd"/>
      <w:r w:rsidRPr="007739EF">
        <w:rPr>
          <w:rFonts w:ascii="Times New Roman" w:hAnsi="Times New Roman"/>
        </w:rPr>
        <w:t xml:space="preserve"> narzędziem FRAX (etap III) - przedstawiciel zawodu medycznego posiadający odpowiedni poziom wiedzy dla udzielenia wyczerpującej i merytorycznie poprawnej odpowiedzi na związane z realizowanym programem pytania świadczeniobiorców (np. uzyskany w czasie uczestnictwa w szkoleniu prowadzonym przez eksperta w ramach PPZ),</w:t>
      </w:r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 xml:space="preserve">pomiar BMD za pomocą DXA (etap IV) - densytometr DXA obsługiwany przez technika/specjalistę </w:t>
      </w:r>
      <w:proofErr w:type="spellStart"/>
      <w:r w:rsidRPr="007739EF">
        <w:rPr>
          <w:rFonts w:ascii="Times New Roman" w:hAnsi="Times New Roman"/>
        </w:rPr>
        <w:t>elektroradiologii</w:t>
      </w:r>
      <w:proofErr w:type="spellEnd"/>
      <w:r w:rsidRPr="007739EF">
        <w:rPr>
          <w:rFonts w:ascii="Times New Roman" w:hAnsi="Times New Roman"/>
        </w:rPr>
        <w:t>/</w:t>
      </w:r>
      <w:proofErr w:type="spellStart"/>
      <w:r w:rsidRPr="007739EF">
        <w:rPr>
          <w:rFonts w:ascii="Times New Roman" w:hAnsi="Times New Roman"/>
        </w:rPr>
        <w:t>elektroradiologa</w:t>
      </w:r>
      <w:proofErr w:type="spellEnd"/>
      <w:r w:rsidRPr="007739EF">
        <w:rPr>
          <w:rFonts w:ascii="Times New Roman" w:hAnsi="Times New Roman"/>
        </w:rPr>
        <w:t>, zgodnie z obowiązującymi przepisami,</w:t>
      </w:r>
    </w:p>
    <w:p w:rsidR="007C5657" w:rsidRPr="007739EF" w:rsidRDefault="008E6AD5">
      <w:pPr>
        <w:pStyle w:val="Akapitzlist"/>
        <w:numPr>
          <w:ilvl w:val="1"/>
          <w:numId w:val="16"/>
        </w:numPr>
        <w:spacing w:before="96" w:after="96"/>
        <w:ind w:left="127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lekarska wizyta podsumowująca (etap V) - lekarz posiadający doświadczenie w diagnostyce, różnicowaniu i leczeniu osteoporozy lub lekarz po ukończeniu prowadzonego w ramach PPZ przez eksperta szkolenia dla personelu medycznego.</w:t>
      </w:r>
    </w:p>
    <w:p w:rsidR="007C5657" w:rsidRPr="007739EF" w:rsidRDefault="008E6AD5">
      <w:pPr>
        <w:pStyle w:val="Akapitzlist"/>
        <w:numPr>
          <w:ilvl w:val="0"/>
          <w:numId w:val="16"/>
        </w:numPr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eastAsia="Times New Roman" w:hAnsi="Times New Roman"/>
          <w:bCs/>
        </w:rPr>
        <w:t>posiadanie sprzętu komputerowego i oprogramowania umożliwiającego gromadzenie i przetwarzanie danych uzyskanych w trakcie realizacji programu.</w:t>
      </w:r>
    </w:p>
    <w:p w:rsidR="007C5657" w:rsidRPr="007739EF" w:rsidRDefault="008E6AD5">
      <w:pPr>
        <w:tabs>
          <w:tab w:val="left" w:pos="567"/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Podmiot udzielający świadczeń w programie będzie zobowiązany do prowadzenia i przechowywania dokumentacji medycznej w formie papierowej oraz elektronicznej w arkuszu kalkulacyjnym, a także do przekazywania uczestnikom ankiet satysfakcji pacjenta. Ponadto realizator będzie przekazywał koordynatorowi raporty okresowe, a także sporządzi sprawozdanie końcowe z przeprowadzonych interwencji. Podmiot udzielający świadczeń zdrowotnych w programie jest zobowiązany prowadzić, przechowywać i udostępniać dokumentację medyczną w sposób zgodny z ustawą z dnia 6 listopada 2008 r. o prawach pacjenta i Rzeczniku Praw Pacjenta [tekst jedn. Dz.U. 2022 poz. 1876 ze zm.], ustawą z dnia 28 kwietnia 2011 r. o systemie informacji w ochronie zdrowia [tekst jedn. Dz.U. 2022 poz. 1555 ze zm.], a także ustawą z dnia 10 maja 2018 r. o ochronie danych osobowych [Dz.U. 2019 poz. 1781 ze zm.].</w:t>
      </w:r>
    </w:p>
    <w:p w:rsidR="007C5657" w:rsidRPr="007739EF" w:rsidRDefault="007C5657">
      <w:pPr>
        <w:tabs>
          <w:tab w:val="left" w:pos="567"/>
          <w:tab w:val="left" w:pos="851"/>
        </w:tabs>
        <w:spacing w:before="96" w:after="96"/>
        <w:jc w:val="both"/>
        <w:rPr>
          <w:rFonts w:ascii="Times New Roman" w:hAnsi="Times New Roman"/>
        </w:rPr>
      </w:pPr>
    </w:p>
    <w:p w:rsidR="007C5657" w:rsidRPr="007739EF" w:rsidRDefault="008E6AD5">
      <w:pPr>
        <w:pStyle w:val="Nagwek1"/>
        <w:spacing w:before="96" w:after="96"/>
        <w:rPr>
          <w:rFonts w:ascii="Times New Roman" w:hAnsi="Times New Roman"/>
          <w:szCs w:val="24"/>
          <w:lang w:val="pl-PL"/>
        </w:rPr>
      </w:pPr>
      <w:bookmarkStart w:id="26" w:name="_Toc126153323"/>
      <w:r w:rsidRPr="007739EF">
        <w:rPr>
          <w:rFonts w:ascii="Times New Roman" w:hAnsi="Times New Roman"/>
          <w:szCs w:val="24"/>
          <w:lang w:val="pl-PL"/>
        </w:rPr>
        <w:t>V. Sposób monitorowania i ewaluacji programu polityki zdrowotnej</w:t>
      </w:r>
      <w:bookmarkEnd w:id="26"/>
    </w:p>
    <w:p w:rsidR="007C5657" w:rsidRPr="007739EF" w:rsidRDefault="008E6AD5">
      <w:pPr>
        <w:pStyle w:val="Nagwek2"/>
        <w:spacing w:before="96" w:after="96"/>
        <w:rPr>
          <w:rFonts w:ascii="Times New Roman" w:hAnsi="Times New Roman" w:cs="Times New Roman"/>
          <w:szCs w:val="24"/>
        </w:rPr>
      </w:pPr>
      <w:bookmarkStart w:id="27" w:name="_Toc126153324"/>
      <w:r w:rsidRPr="007739EF">
        <w:rPr>
          <w:rFonts w:ascii="Times New Roman" w:hAnsi="Times New Roman" w:cs="Times New Roman"/>
          <w:szCs w:val="24"/>
        </w:rPr>
        <w:t>1. Monitorowanie</w:t>
      </w:r>
      <w:bookmarkEnd w:id="27"/>
    </w:p>
    <w:p w:rsidR="007C5657" w:rsidRPr="007739EF" w:rsidRDefault="008E6AD5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1) Ocena zgłaszalności do programu prowadzona na podstawie sprawozdań realizatora w 6-miesięcznych okresach sprawozdawczych oraz całościowo po zakończeniu programu prowadzona przy wykorzystaniu co najmniej następujących wskaźników (załącznik 2):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liczba osób, które uczestniczyły w szkoleniach dla personelu medycznego, z podziałem na zawody medyczne </w:t>
      </w:r>
      <w:bookmarkStart w:id="28" w:name="_Hlk141080621"/>
      <w:r w:rsidRPr="007739EF">
        <w:rPr>
          <w:rFonts w:ascii="Times New Roman" w:hAnsi="Times New Roman"/>
        </w:rPr>
        <w:t>(wskaźnik docelowy: 5),</w:t>
      </w:r>
      <w:bookmarkEnd w:id="28"/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liczba świadczeniobiorców, którzy zostali poddani działaniom edukacyjno-informacyjnym (wskaźnik docelowy: 750),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liczba świadczeniobiorców, którzy zostali zakwalifikowani do FRAX, z podziałem na wyniki &lt;5% i ≥5% (wskaźnik docelowy: 670),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liczba świadczeniobiorców, którzy w ramach programu wykonali pomiar BMD za pomocą DXA, z podziałem na grupy wyników 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 xml:space="preserve"> (grupa &gt;–1; grupa ≤–1 i &gt;–2,5; grupa ≤–2,5) (wskaźnik docelowy: 270),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liczba świadczeniobiorców, którzy wzięli udział w lekarskiej wizycie podsumowującej (wskaźnik docelowy: 270),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liczba świadczeniobiorców, którzy nie zostali objęci działaniami w ramach programu polityki zdrowotnej, wraz ze wskazaniem powodów (wskaźnik docelowy: 10),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liczba osób, która zrezygnowała z udziału w programie (wskaźnik docelowy: 10).</w:t>
      </w: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Zalecane jest bieżące uzupełnienie informacji o każdym z uczestników PPZ w formie elektronicznej bazy danych, np. w arkuszu kalkulacyjnym Microsoft Excel: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>data wyrażenia zgody na uczestnictwo w PPZ, w tym zgody na przetwarzanie danych osobowych oraz zgody na kontakt (np. numer telefonu, adres e-mail),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numer PESEL wraz ze zgodą na jego wykorzystywanie w ocenie efektów zdrowotnych PPZ,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informacje o świadczeniach, z których skorzystał uczestnik,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1160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data zakończenia udziału w PPZ wraz z podaniem przyczyny (np. zakończenie realizacji PPZ, wycofanie zgody na uczestnictwo w PPZ);</w:t>
      </w:r>
    </w:p>
    <w:p w:rsidR="007C5657" w:rsidRPr="007739EF" w:rsidRDefault="008E6AD5">
      <w:pPr>
        <w:tabs>
          <w:tab w:val="left" w:pos="1160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2) Ocena jakości świadczeń w programie</w:t>
      </w:r>
    </w:p>
    <w:p w:rsidR="007C5657" w:rsidRPr="007739EF" w:rsidRDefault="008E6AD5">
      <w:pPr>
        <w:pStyle w:val="Akapitzlist"/>
        <w:numPr>
          <w:ilvl w:val="0"/>
          <w:numId w:val="4"/>
        </w:numPr>
        <w:tabs>
          <w:tab w:val="left" w:pos="1160"/>
        </w:tabs>
        <w:spacing w:before="96" w:after="96"/>
        <w:ind w:left="567" w:hanging="284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coroczna analiza wyników ankiety satysfakcji uczestników programu (załącznik 3) - wyrażony w procentach stosunek opinii pozytywnych do wszystkich wypełnionych przez uczestników ankiet oceny jakości świadczeń, </w:t>
      </w:r>
    </w:p>
    <w:p w:rsidR="007C5657" w:rsidRPr="007739EF" w:rsidRDefault="008E6AD5">
      <w:pPr>
        <w:pStyle w:val="Akapitzlist"/>
        <w:numPr>
          <w:ilvl w:val="0"/>
          <w:numId w:val="4"/>
        </w:numPr>
        <w:tabs>
          <w:tab w:val="left" w:pos="1160"/>
        </w:tabs>
        <w:spacing w:before="96" w:after="96"/>
        <w:ind w:left="567" w:hanging="284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bieżąca analiza pisemnych uwag uczestników dot. realizacji programu.</w:t>
      </w:r>
    </w:p>
    <w:p w:rsidR="007C5657" w:rsidRPr="007739EF" w:rsidRDefault="008E6AD5">
      <w:pPr>
        <w:pStyle w:val="Nagwek2"/>
        <w:spacing w:before="96" w:after="96"/>
        <w:rPr>
          <w:rFonts w:ascii="Times New Roman" w:hAnsi="Times New Roman" w:cs="Times New Roman"/>
          <w:szCs w:val="24"/>
        </w:rPr>
      </w:pPr>
      <w:bookmarkStart w:id="29" w:name="_Toc126153325"/>
      <w:r w:rsidRPr="007739EF">
        <w:rPr>
          <w:rFonts w:ascii="Times New Roman" w:hAnsi="Times New Roman" w:cs="Times New Roman"/>
          <w:szCs w:val="24"/>
        </w:rPr>
        <w:t>2. Ewaluacja</w:t>
      </w:r>
      <w:bookmarkEnd w:id="29"/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W ramach ewaluacji, po zakończeniu realizacji PPZ, planuje się odniesienie do stopnia zrealizowania potrzeby zdrowotnej populacji docelowej na obszarze objętym PPZ, wyrażonej w: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567"/>
          <w:tab w:val="left" w:pos="851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liczbie osób uczestniczących w szkoleniach dla personelu medycznego, u których doszło do wzrostu poziomu wiedzy (przeprowadzenie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-testu i post-testu) (wskaźnik docelowy: 5),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567"/>
          <w:tab w:val="left" w:pos="851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liczbie uczestników działań informacyjno-edukacyjnych, u których doszło do wzrostu poziomu wiedzy (przeprowadzenie </w:t>
      </w:r>
      <w:proofErr w:type="spellStart"/>
      <w:r w:rsidRPr="007739EF">
        <w:rPr>
          <w:rFonts w:ascii="Times New Roman" w:hAnsi="Times New Roman"/>
        </w:rPr>
        <w:t>pre</w:t>
      </w:r>
      <w:proofErr w:type="spellEnd"/>
      <w:r w:rsidRPr="007739EF">
        <w:rPr>
          <w:rFonts w:ascii="Times New Roman" w:hAnsi="Times New Roman"/>
        </w:rPr>
        <w:t>-testu i post-testu) (wskaźnik docelowy: 370),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567"/>
          <w:tab w:val="left" w:pos="851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odsetku świadczeniobiorców z wynikiem FRAX ≥5% względem wszystkich świadczeniobiorców, dla których w ramach programu wykonano ocenę FRAX (wskaźnik docelowy: 40%),</w:t>
      </w:r>
    </w:p>
    <w:p w:rsidR="007C5657" w:rsidRPr="007739EF" w:rsidRDefault="008E6AD5">
      <w:pPr>
        <w:pStyle w:val="Akapitzlist"/>
        <w:numPr>
          <w:ilvl w:val="2"/>
          <w:numId w:val="2"/>
        </w:numPr>
        <w:tabs>
          <w:tab w:val="left" w:pos="567"/>
          <w:tab w:val="left" w:pos="851"/>
        </w:tabs>
        <w:spacing w:before="96" w:after="96"/>
        <w:ind w:left="567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odsetku świadczeniobiorców z wynikiem BMD T-</w:t>
      </w:r>
      <w:proofErr w:type="spellStart"/>
      <w:r w:rsidRPr="007739EF">
        <w:rPr>
          <w:rFonts w:ascii="Times New Roman" w:hAnsi="Times New Roman"/>
        </w:rPr>
        <w:t>score</w:t>
      </w:r>
      <w:proofErr w:type="spellEnd"/>
      <w:r w:rsidRPr="007739EF">
        <w:rPr>
          <w:rFonts w:ascii="Times New Roman" w:hAnsi="Times New Roman"/>
        </w:rPr>
        <w:t xml:space="preserve"> ≤–2,5 względem wszystkich świadczeniobiorców, dla których przeprowadzono badanie DXA w ramach programu (wskaźnik docelowy: 22%).</w:t>
      </w:r>
    </w:p>
    <w:p w:rsidR="007C5657" w:rsidRPr="007739EF" w:rsidRDefault="007C5657">
      <w:pPr>
        <w:spacing w:before="96" w:after="96"/>
        <w:rPr>
          <w:rFonts w:ascii="Times New Roman" w:hAnsi="Times New Roman"/>
        </w:rPr>
        <w:sectPr w:rsidR="007C5657" w:rsidRPr="007739EF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C5657" w:rsidRPr="007739EF" w:rsidRDefault="008E6AD5">
      <w:pPr>
        <w:pStyle w:val="Nagwek1"/>
        <w:rPr>
          <w:rFonts w:ascii="Times New Roman" w:hAnsi="Times New Roman"/>
          <w:lang w:val="pl-PL"/>
        </w:rPr>
      </w:pPr>
      <w:bookmarkStart w:id="30" w:name="_Toc126153326"/>
      <w:r w:rsidRPr="007739EF">
        <w:rPr>
          <w:rFonts w:ascii="Times New Roman" w:hAnsi="Times New Roman"/>
          <w:lang w:val="pl-PL"/>
        </w:rPr>
        <w:lastRenderedPageBreak/>
        <w:t>VI. Budżet programu polityki zdrowotnej</w:t>
      </w:r>
      <w:bookmarkEnd w:id="30"/>
    </w:p>
    <w:p w:rsidR="007C5657" w:rsidRPr="007739EF" w:rsidRDefault="008E6AD5">
      <w:pPr>
        <w:pStyle w:val="Nagwek2"/>
        <w:rPr>
          <w:rFonts w:ascii="Times New Roman" w:hAnsi="Times New Roman" w:cs="Times New Roman"/>
        </w:rPr>
      </w:pPr>
      <w:bookmarkStart w:id="31" w:name="_Toc126153327"/>
      <w:r w:rsidRPr="007739EF">
        <w:rPr>
          <w:rFonts w:ascii="Times New Roman" w:hAnsi="Times New Roman" w:cs="Times New Roman"/>
        </w:rPr>
        <w:t>1. Koszty jednostkowe:</w:t>
      </w:r>
      <w:bookmarkEnd w:id="31"/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4144"/>
        <w:gridCol w:w="908"/>
        <w:gridCol w:w="1549"/>
        <w:gridCol w:w="1807"/>
      </w:tblGrid>
      <w:tr w:rsidR="007C5657" w:rsidRPr="007739EF">
        <w:trPr>
          <w:trHeight w:val="754"/>
        </w:trPr>
        <w:tc>
          <w:tcPr>
            <w:tcW w:w="546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44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Kategoria kosztu</w:t>
            </w:r>
          </w:p>
        </w:tc>
        <w:tc>
          <w:tcPr>
            <w:tcW w:w="908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1549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Koszt jednostkowy (zł)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Suma kosztów jednostkowych (zł)</w:t>
            </w:r>
          </w:p>
        </w:tc>
      </w:tr>
      <w:tr w:rsidR="007C5657" w:rsidRPr="007739EF">
        <w:trPr>
          <w:trHeight w:val="478"/>
        </w:trPr>
        <w:tc>
          <w:tcPr>
            <w:tcW w:w="8954" w:type="dxa"/>
            <w:gridSpan w:val="5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Koszty pośrednie</w:t>
            </w:r>
          </w:p>
        </w:tc>
      </w:tr>
      <w:tr w:rsidR="007C5657" w:rsidRPr="007739EF"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4144" w:type="dxa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Koszt funkcjonowania Rady ds.</w:t>
            </w:r>
            <w:r w:rsidRPr="007739EF">
              <w:rPr>
                <w:rFonts w:ascii="Times New Roman" w:eastAsia="Calibri" w:hAnsi="Times New Roman"/>
              </w:rPr>
              <w:t xml:space="preserve"> </w:t>
            </w:r>
            <w:r w:rsidRPr="007739EF">
              <w:rPr>
                <w:rFonts w:ascii="Times New Roman" w:eastAsia="Calibri" w:hAnsi="Times New Roman"/>
                <w:sz w:val="22"/>
                <w:szCs w:val="22"/>
              </w:rPr>
              <w:t>programu polityki zdrowotnej</w:t>
            </w:r>
          </w:p>
        </w:tc>
        <w:tc>
          <w:tcPr>
            <w:tcW w:w="908" w:type="dxa"/>
            <w:tcBorders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15 000</w:t>
            </w:r>
          </w:p>
        </w:tc>
      </w:tr>
      <w:tr w:rsidR="007C5657" w:rsidRPr="007739EF"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4144" w:type="dxa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Koszt monitoringu i ewaluacji</w:t>
            </w:r>
          </w:p>
        </w:tc>
        <w:tc>
          <w:tcPr>
            <w:tcW w:w="908" w:type="dxa"/>
            <w:tcBorders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8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30 000</w:t>
            </w:r>
          </w:p>
        </w:tc>
      </w:tr>
      <w:tr w:rsidR="007C5657" w:rsidRPr="007739EF"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4144" w:type="dxa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Koszty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908" w:type="dxa"/>
            <w:tcBorders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8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30 000</w:t>
            </w:r>
          </w:p>
        </w:tc>
      </w:tr>
      <w:tr w:rsidR="007C5657" w:rsidRPr="007739EF">
        <w:trPr>
          <w:trHeight w:val="430"/>
        </w:trPr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4144" w:type="dxa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Koszt działań informacyjnych</w:t>
            </w:r>
          </w:p>
        </w:tc>
        <w:tc>
          <w:tcPr>
            <w:tcW w:w="908" w:type="dxa"/>
            <w:tcBorders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8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10 000</w:t>
            </w:r>
          </w:p>
        </w:tc>
      </w:tr>
      <w:tr w:rsidR="007C5657" w:rsidRPr="007739EF"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4144" w:type="dxa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Koszt działań edukacyjnych, w tym przygotowania materiałów w postaci ulotek, plakatów, broszur (etap II)</w:t>
            </w:r>
          </w:p>
        </w:tc>
        <w:tc>
          <w:tcPr>
            <w:tcW w:w="908" w:type="dxa"/>
            <w:tcBorders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8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20 000</w:t>
            </w:r>
          </w:p>
        </w:tc>
      </w:tr>
      <w:tr w:rsidR="007C5657" w:rsidRPr="007739EF">
        <w:trPr>
          <w:trHeight w:val="538"/>
        </w:trPr>
        <w:tc>
          <w:tcPr>
            <w:tcW w:w="8954" w:type="dxa"/>
            <w:gridSpan w:val="5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Koszty bezpośrednie</w:t>
            </w:r>
          </w:p>
        </w:tc>
      </w:tr>
      <w:tr w:rsidR="007C5657" w:rsidRPr="007739EF"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4144" w:type="dxa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Koszt przygotowania i prowadzenia szkoleń dla personelu medycznego (etap I)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13 400</w:t>
            </w:r>
          </w:p>
        </w:tc>
        <w:tc>
          <w:tcPr>
            <w:tcW w:w="1807" w:type="dxa"/>
            <w:tcBorders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13 400</w:t>
            </w:r>
          </w:p>
        </w:tc>
      </w:tr>
      <w:tr w:rsidR="007C5657" w:rsidRPr="007739EF"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4144" w:type="dxa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Koszt edukacji zdrowotnej – wykład stacjonarny (etap II)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color w:val="70AD47" w:themeColor="accent6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color w:val="70AD47" w:themeColor="accent6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4 000</w:t>
            </w:r>
          </w:p>
        </w:tc>
        <w:tc>
          <w:tcPr>
            <w:tcW w:w="18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color w:val="70AD47" w:themeColor="accent6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8 000</w:t>
            </w:r>
          </w:p>
        </w:tc>
      </w:tr>
      <w:tr w:rsidR="007C5657" w:rsidRPr="007739EF"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4144" w:type="dxa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 xml:space="preserve">Koszt  oceny ryzyka poważnego złamania </w:t>
            </w:r>
            <w:proofErr w:type="spellStart"/>
            <w:r w:rsidRPr="007739EF">
              <w:rPr>
                <w:rFonts w:ascii="Times New Roman" w:eastAsia="Calibri" w:hAnsi="Times New Roman"/>
                <w:sz w:val="22"/>
                <w:szCs w:val="22"/>
              </w:rPr>
              <w:t>osteoporotycznego</w:t>
            </w:r>
            <w:proofErr w:type="spellEnd"/>
            <w:r w:rsidRPr="007739EF">
              <w:rPr>
                <w:rFonts w:ascii="Times New Roman" w:eastAsia="Calibri" w:hAnsi="Times New Roman"/>
                <w:sz w:val="22"/>
                <w:szCs w:val="22"/>
              </w:rPr>
              <w:t xml:space="preserve"> narzędziem FRAX (etap III)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53 600</w:t>
            </w:r>
          </w:p>
        </w:tc>
      </w:tr>
      <w:tr w:rsidR="007C5657" w:rsidRPr="007739EF"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4144" w:type="dxa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Koszt pomiaru BMD za pomocą DXA (etap IV)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67 500</w:t>
            </w:r>
          </w:p>
        </w:tc>
      </w:tr>
      <w:tr w:rsidR="007C5657" w:rsidRPr="007739EF">
        <w:tc>
          <w:tcPr>
            <w:tcW w:w="546" w:type="dxa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4144" w:type="dxa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Koszt lekarskiej wizyty podsumowującej (etap V)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0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67 500</w:t>
            </w:r>
          </w:p>
        </w:tc>
      </w:tr>
      <w:tr w:rsidR="007C5657" w:rsidRPr="007739EF">
        <w:trPr>
          <w:trHeight w:val="505"/>
        </w:trPr>
        <w:tc>
          <w:tcPr>
            <w:tcW w:w="7147" w:type="dxa"/>
            <w:gridSpan w:val="4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SUMA</w:t>
            </w:r>
          </w:p>
        </w:tc>
        <w:tc>
          <w:tcPr>
            <w:tcW w:w="1807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315 000</w:t>
            </w:r>
          </w:p>
        </w:tc>
      </w:tr>
    </w:tbl>
    <w:p w:rsidR="007C5657" w:rsidRPr="007739EF" w:rsidRDefault="008E6AD5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>* koszty jednostkowe oszacowano na podstawie cen rynkowych oferowanych przez potencjalnych realizatorów</w:t>
      </w:r>
    </w:p>
    <w:p w:rsidR="007C5657" w:rsidRPr="007739EF" w:rsidRDefault="007C5657">
      <w:pPr>
        <w:pStyle w:val="Nagwek2"/>
        <w:rPr>
          <w:rFonts w:ascii="Times New Roman" w:hAnsi="Times New Roman" w:cs="Times New Roman"/>
        </w:rPr>
      </w:pPr>
    </w:p>
    <w:p w:rsidR="007C5657" w:rsidRPr="007739EF" w:rsidRDefault="008E6AD5">
      <w:pPr>
        <w:pStyle w:val="Nagwek2"/>
        <w:rPr>
          <w:rFonts w:ascii="Times New Roman" w:hAnsi="Times New Roman" w:cs="Times New Roman"/>
        </w:rPr>
      </w:pPr>
      <w:bookmarkStart w:id="32" w:name="_Toc126153328"/>
      <w:r w:rsidRPr="007739EF">
        <w:rPr>
          <w:rFonts w:ascii="Times New Roman" w:hAnsi="Times New Roman" w:cs="Times New Roman"/>
        </w:rPr>
        <w:t>2. Koszty całkowite:</w:t>
      </w:r>
      <w:bookmarkEnd w:id="32"/>
      <w:r w:rsidRPr="007739EF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118"/>
      </w:tblGrid>
      <w:tr w:rsidR="007C5657" w:rsidRPr="007739EF">
        <w:trPr>
          <w:trHeight w:val="754"/>
        </w:trPr>
        <w:tc>
          <w:tcPr>
            <w:tcW w:w="6095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Rok realizacji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Koszt całkowity (zł)</w:t>
            </w:r>
          </w:p>
        </w:tc>
      </w:tr>
      <w:tr w:rsidR="007C5657" w:rsidRPr="007739EF">
        <w:tc>
          <w:tcPr>
            <w:tcW w:w="6095" w:type="dxa"/>
          </w:tcPr>
          <w:p w:rsidR="007C5657" w:rsidRPr="007739EF" w:rsidRDefault="008E6AD5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2023</w:t>
            </w:r>
          </w:p>
        </w:tc>
        <w:tc>
          <w:tcPr>
            <w:tcW w:w="3118" w:type="dxa"/>
            <w:vAlign w:val="center"/>
          </w:tcPr>
          <w:p w:rsidR="007C5657" w:rsidRPr="007739EF" w:rsidRDefault="008E6AD5">
            <w:pPr>
              <w:spacing w:before="40" w:after="4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13 400</w:t>
            </w:r>
          </w:p>
        </w:tc>
      </w:tr>
      <w:tr w:rsidR="007C5657" w:rsidRPr="007739EF">
        <w:tc>
          <w:tcPr>
            <w:tcW w:w="6095" w:type="dxa"/>
          </w:tcPr>
          <w:p w:rsidR="007C5657" w:rsidRPr="007739EF" w:rsidRDefault="008E6AD5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2024</w:t>
            </w:r>
          </w:p>
        </w:tc>
        <w:tc>
          <w:tcPr>
            <w:tcW w:w="3118" w:type="dxa"/>
            <w:vAlign w:val="center"/>
          </w:tcPr>
          <w:p w:rsidR="007C5657" w:rsidRPr="007739EF" w:rsidRDefault="008E6AD5">
            <w:pPr>
              <w:spacing w:before="40" w:after="4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150 800</w:t>
            </w:r>
          </w:p>
        </w:tc>
      </w:tr>
      <w:tr w:rsidR="007C5657" w:rsidRPr="007739EF">
        <w:tc>
          <w:tcPr>
            <w:tcW w:w="6095" w:type="dxa"/>
          </w:tcPr>
          <w:p w:rsidR="007C5657" w:rsidRPr="007739EF" w:rsidRDefault="008E6AD5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2025</w:t>
            </w:r>
          </w:p>
        </w:tc>
        <w:tc>
          <w:tcPr>
            <w:tcW w:w="3118" w:type="dxa"/>
            <w:vAlign w:val="center"/>
          </w:tcPr>
          <w:p w:rsidR="007C5657" w:rsidRPr="007739EF" w:rsidRDefault="008E6AD5">
            <w:pPr>
              <w:spacing w:before="40" w:after="4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150 800</w:t>
            </w:r>
          </w:p>
        </w:tc>
      </w:tr>
      <w:tr w:rsidR="007C5657" w:rsidRPr="007739EF">
        <w:trPr>
          <w:trHeight w:val="466"/>
        </w:trPr>
        <w:tc>
          <w:tcPr>
            <w:tcW w:w="6095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SUMA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739EF">
              <w:rPr>
                <w:rFonts w:ascii="Times New Roman" w:eastAsia="Calibri" w:hAnsi="Times New Roman"/>
                <w:sz w:val="22"/>
                <w:szCs w:val="22"/>
              </w:rPr>
              <w:t>315 000</w:t>
            </w:r>
          </w:p>
        </w:tc>
      </w:tr>
    </w:tbl>
    <w:p w:rsidR="007C5657" w:rsidRPr="007739EF" w:rsidRDefault="007C5657">
      <w:pPr>
        <w:rPr>
          <w:rFonts w:ascii="Times New Roman" w:hAnsi="Times New Roman"/>
        </w:rPr>
      </w:pPr>
    </w:p>
    <w:p w:rsidR="007C5657" w:rsidRPr="007739EF" w:rsidRDefault="008E6AD5">
      <w:pPr>
        <w:pStyle w:val="Nagwek2"/>
        <w:rPr>
          <w:rFonts w:ascii="Times New Roman" w:hAnsi="Times New Roman" w:cs="Times New Roman"/>
        </w:rPr>
      </w:pPr>
      <w:bookmarkStart w:id="33" w:name="_Toc126153329"/>
      <w:r w:rsidRPr="007739EF">
        <w:rPr>
          <w:rFonts w:ascii="Times New Roman" w:hAnsi="Times New Roman" w:cs="Times New Roman"/>
        </w:rPr>
        <w:lastRenderedPageBreak/>
        <w:t>3. Źródło finansowania.</w:t>
      </w:r>
      <w:bookmarkEnd w:id="33"/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ab/>
        <w:t>Program w założeniu finansowany ze środków stanowiących wkład własny Realizatora programu polityki zdrowotnej (63 000 zł tj. 20%) oraz środków Ministerstwa Zdrowia (252 000 zł tj. 80%) w ramach dofinansowania z Subfunduszu rozwoju profilaktyki, wyodrębnionego w ramach Funduszu Medycznego. Gmina Kłodawa wymaga od potencjalnego Realizatora wniesienia wkładu własnego w formie poniesienia części wydatków zaplanowanych na realizację programu (20%).</w:t>
      </w:r>
    </w:p>
    <w:p w:rsidR="007C5657" w:rsidRPr="007739EF" w:rsidRDefault="007C5657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</w:p>
    <w:p w:rsidR="007C5657" w:rsidRPr="007739EF" w:rsidRDefault="007C5657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</w:p>
    <w:p w:rsidR="007C5657" w:rsidRPr="007739EF" w:rsidRDefault="008E6AD5">
      <w:pPr>
        <w:tabs>
          <w:tab w:val="left" w:pos="851"/>
        </w:tabs>
        <w:spacing w:before="96" w:after="96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br w:type="page"/>
      </w:r>
    </w:p>
    <w:p w:rsidR="007C5657" w:rsidRPr="007739EF" w:rsidRDefault="008E6AD5">
      <w:pPr>
        <w:pStyle w:val="Nagwek1"/>
        <w:rPr>
          <w:rFonts w:ascii="Times New Roman" w:hAnsi="Times New Roman"/>
          <w:lang w:val="pl-PL"/>
        </w:rPr>
      </w:pPr>
      <w:bookmarkStart w:id="34" w:name="_Toc126153330"/>
      <w:r w:rsidRPr="007739EF">
        <w:rPr>
          <w:rFonts w:ascii="Times New Roman" w:hAnsi="Times New Roman"/>
          <w:lang w:val="pl-PL"/>
        </w:rPr>
        <w:lastRenderedPageBreak/>
        <w:t>Bibliografia</w:t>
      </w:r>
      <w:bookmarkEnd w:id="34"/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  <w:lang w:val="en-US"/>
        </w:rPr>
        <w:t xml:space="preserve">[No authors listed], Management of osteoporosis in postmenopausal women: 2010 position statement of the North American Menopause Society. </w:t>
      </w:r>
      <w:proofErr w:type="spellStart"/>
      <w:r w:rsidRPr="007739EF">
        <w:rPr>
          <w:rFonts w:ascii="Times New Roman" w:hAnsi="Times New Roman"/>
          <w:sz w:val="22"/>
          <w:szCs w:val="22"/>
        </w:rPr>
        <w:t>Menopause</w:t>
      </w:r>
      <w:proofErr w:type="spellEnd"/>
      <w:r w:rsidRPr="007739EF">
        <w:rPr>
          <w:rFonts w:ascii="Times New Roman" w:hAnsi="Times New Roman"/>
          <w:sz w:val="22"/>
          <w:szCs w:val="22"/>
        </w:rPr>
        <w:t xml:space="preserve"> 2010; 17: 25-54.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>Bank danych lokalnych [bdl.stat.gov.pl; dostęp: 13.01.2023r.].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739EF">
        <w:rPr>
          <w:rFonts w:ascii="Times New Roman" w:hAnsi="Times New Roman"/>
          <w:sz w:val="22"/>
          <w:szCs w:val="22"/>
          <w:lang w:val="en-US"/>
        </w:rPr>
        <w:t xml:space="preserve">Bell, K., Strand, H., &amp;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Inder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>, W. J. (2014). Effect of a dedicated osteoporosis health professional on screening and treatment in outpatients presenting with acute low trauma non-hip fracture: a systematic review. Archives of osteoporosis, 9(1), 167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739EF">
        <w:rPr>
          <w:rFonts w:ascii="Times New Roman" w:hAnsi="Times New Roman"/>
          <w:sz w:val="22"/>
          <w:szCs w:val="22"/>
          <w:lang w:val="en-US"/>
        </w:rPr>
        <w:t>Broken Bones, Broken Lives: A roadmap to solve the fragility fracture crisis in Europe, The International Osteoporosis Foundation, 2018.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 xml:space="preserve">Czerwiński E., Boczoń K., Kumorek A., Epidemiologia złamań </w:t>
      </w:r>
      <w:proofErr w:type="spellStart"/>
      <w:r w:rsidRPr="007739EF">
        <w:rPr>
          <w:rFonts w:ascii="Times New Roman" w:hAnsi="Times New Roman"/>
          <w:sz w:val="22"/>
          <w:szCs w:val="22"/>
        </w:rPr>
        <w:t>osteoporotycznych</w:t>
      </w:r>
      <w:proofErr w:type="spellEnd"/>
      <w:r w:rsidRPr="007739EF">
        <w:rPr>
          <w:rFonts w:ascii="Times New Roman" w:hAnsi="Times New Roman"/>
          <w:sz w:val="22"/>
          <w:szCs w:val="22"/>
        </w:rPr>
        <w:t>, Postępy Nauk Medycznych, t. XXV, nr 3, 2012.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739EF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Pr="007739EF">
        <w:rPr>
          <w:rFonts w:ascii="Times New Roman" w:hAnsi="Times New Roman"/>
          <w:sz w:val="22"/>
          <w:szCs w:val="22"/>
        </w:rPr>
        <w:t>Cianciara</w:t>
      </w:r>
      <w:proofErr w:type="spellEnd"/>
      <w:r w:rsidRPr="007739EF">
        <w:rPr>
          <w:rFonts w:ascii="Times New Roman" w:hAnsi="Times New Roman"/>
          <w:sz w:val="22"/>
          <w:szCs w:val="22"/>
        </w:rPr>
        <w:t xml:space="preserve">,  Zarys współczesnej promocji zdrowia, wyd. </w:t>
      </w:r>
      <w:r w:rsidRPr="007739EF">
        <w:rPr>
          <w:rFonts w:ascii="Times New Roman" w:hAnsi="Times New Roman"/>
          <w:sz w:val="22"/>
          <w:szCs w:val="22"/>
          <w:lang w:val="en-US"/>
        </w:rPr>
        <w:t>PZWL, Warszawa 2010, s. 104-111.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>Dane Ministerstwa Zdrowia i Narodowego Funduszu Zdrowia [https://pacjent.gov.pl/programy-profilaktyczne/profilaktyka-osteoporozy; dostęp: 13.01.2023r.].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739EF">
        <w:rPr>
          <w:rFonts w:ascii="Times New Roman" w:hAnsi="Times New Roman"/>
          <w:sz w:val="22"/>
          <w:szCs w:val="22"/>
        </w:rPr>
        <w:t xml:space="preserve">Głuszko, P., </w:t>
      </w:r>
      <w:proofErr w:type="spellStart"/>
      <w:r w:rsidRPr="007739EF">
        <w:rPr>
          <w:rFonts w:ascii="Times New Roman" w:hAnsi="Times New Roman"/>
          <w:sz w:val="22"/>
          <w:szCs w:val="22"/>
        </w:rPr>
        <w:t>Tłustochowicz</w:t>
      </w:r>
      <w:proofErr w:type="spellEnd"/>
      <w:r w:rsidRPr="007739EF">
        <w:rPr>
          <w:rFonts w:ascii="Times New Roman" w:hAnsi="Times New Roman"/>
          <w:sz w:val="22"/>
          <w:szCs w:val="22"/>
        </w:rPr>
        <w:t xml:space="preserve">, W., &amp; Korkosz, M. (2017). Choroby metaboliczne kości. W: Gajewski P (red.)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Interna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Szczeklika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>, 2070-2076.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Hernlund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 xml:space="preserve">, E.,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Svedbom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 xml:space="preserve">, A.,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Ivergård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 xml:space="preserve">, M.,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Compston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 xml:space="preserve">, J., Cooper, C.,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Stenmark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 xml:space="preserve">, J., ... &amp;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Kanis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>, J. A. (2013). Osteoporosis in the European Union: medical management, epidemiology and economic burden. Archives of osteoporosis, 8(1-2), 136.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Kanis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 xml:space="preserve">, J. A., Oden, A., McCloskey, E. V., Johansson, H., Wahl, D. A., &amp; Cooper, C. (2012). A systematic review of hip fracture incidence and probability of fracture worldwide. </w:t>
      </w:r>
      <w:proofErr w:type="spellStart"/>
      <w:r w:rsidRPr="007739EF">
        <w:rPr>
          <w:rFonts w:ascii="Times New Roman" w:hAnsi="Times New Roman"/>
          <w:sz w:val="22"/>
          <w:szCs w:val="22"/>
        </w:rPr>
        <w:t>Osteoporosis</w:t>
      </w:r>
      <w:proofErr w:type="spellEnd"/>
      <w:r w:rsidRPr="007739EF">
        <w:rPr>
          <w:rFonts w:ascii="Times New Roman" w:hAnsi="Times New Roman"/>
          <w:sz w:val="22"/>
          <w:szCs w:val="22"/>
        </w:rPr>
        <w:t xml:space="preserve"> International, 23(9), 2239-2256.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>Lorenc R. i in, Zalecenia postępowania diagnostycznego i leczniczego w osteoporozie w Polsce. Aktualizacja 2017, Endokrynologia Polska Tom/Volume 68; Suplement A.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 xml:space="preserve">Obwieszczenie Ministra Zdrowia z dnia 27 sierpnia 2021 r. w sprawie mapy potrzeb zdrowotnych [DZ. URZ. Min. </w:t>
      </w:r>
      <w:proofErr w:type="spellStart"/>
      <w:r w:rsidRPr="007739EF">
        <w:rPr>
          <w:rFonts w:ascii="Times New Roman" w:hAnsi="Times New Roman"/>
          <w:sz w:val="22"/>
          <w:szCs w:val="22"/>
        </w:rPr>
        <w:t>Zdr</w:t>
      </w:r>
      <w:proofErr w:type="spellEnd"/>
      <w:r w:rsidRPr="007739EF">
        <w:rPr>
          <w:rFonts w:ascii="Times New Roman" w:hAnsi="Times New Roman"/>
          <w:sz w:val="22"/>
          <w:szCs w:val="22"/>
        </w:rPr>
        <w:t>. 2021.69]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>Opinia Prezesa Agencji Oceny Technologii Medycznych i Taryfikacji nr 126/2019 z dnia 28 sierpnia 2019 r. [http://bipold.aotm.gov.pl; dostęp: 08.10.2019r.].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 xml:space="preserve">Program Polityki Zdrowotnej Program Koordynacji Profilaktyki Złamań </w:t>
      </w:r>
      <w:proofErr w:type="spellStart"/>
      <w:r w:rsidRPr="007739EF">
        <w:rPr>
          <w:rFonts w:ascii="Times New Roman" w:hAnsi="Times New Roman"/>
          <w:sz w:val="22"/>
          <w:szCs w:val="22"/>
        </w:rPr>
        <w:t>Osteoporotycznych</w:t>
      </w:r>
      <w:proofErr w:type="spellEnd"/>
      <w:r w:rsidRPr="007739EF">
        <w:rPr>
          <w:rFonts w:ascii="Times New Roman" w:hAnsi="Times New Roman"/>
          <w:sz w:val="22"/>
          <w:szCs w:val="22"/>
        </w:rPr>
        <w:t xml:space="preserve"> [pacjent.gov.pl; dostęp: 13.01.2023r.].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739EF">
        <w:rPr>
          <w:rFonts w:ascii="Times New Roman" w:hAnsi="Times New Roman"/>
          <w:sz w:val="22"/>
          <w:szCs w:val="22"/>
        </w:rPr>
        <w:t>Rabiej</w:t>
      </w:r>
      <w:proofErr w:type="spellEnd"/>
      <w:r w:rsidRPr="007739EF">
        <w:rPr>
          <w:rFonts w:ascii="Times New Roman" w:hAnsi="Times New Roman"/>
          <w:sz w:val="22"/>
          <w:szCs w:val="22"/>
        </w:rPr>
        <w:t xml:space="preserve"> M., Dmoch-</w:t>
      </w:r>
      <w:proofErr w:type="spellStart"/>
      <w:r w:rsidRPr="007739EF">
        <w:rPr>
          <w:rFonts w:ascii="Times New Roman" w:hAnsi="Times New Roman"/>
          <w:sz w:val="22"/>
          <w:szCs w:val="22"/>
        </w:rPr>
        <w:t>Gajzierska</w:t>
      </w:r>
      <w:proofErr w:type="spellEnd"/>
      <w:r w:rsidRPr="007739EF">
        <w:rPr>
          <w:rFonts w:ascii="Times New Roman" w:hAnsi="Times New Roman"/>
          <w:sz w:val="22"/>
          <w:szCs w:val="22"/>
        </w:rPr>
        <w:t xml:space="preserve"> E., Profilaktyka osteoporozy, Położna Nauka i Praktyka 2011; 4(16): 12-15.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>Rozporządzenie Ministra Zdrowia z dnia 22 listopada 2021 r. zmieniające rozporządzenie w sprawie priorytetów zdrowotnych [Dz.U. 2021 poz. 2144].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 xml:space="preserve">Rozporządzenie Ministra Zdrowia z dnia 6 listopada 2013 r. w sprawie świadczeń gwarantowanych z zakresu ambulatoryjnej opieki specjalistycznej [tekst jedn. Dz.U. 2016 poz. 357 z </w:t>
      </w:r>
      <w:proofErr w:type="spellStart"/>
      <w:r w:rsidRPr="007739EF">
        <w:rPr>
          <w:rFonts w:ascii="Times New Roman" w:hAnsi="Times New Roman"/>
          <w:sz w:val="22"/>
          <w:szCs w:val="22"/>
        </w:rPr>
        <w:t>późn</w:t>
      </w:r>
      <w:proofErr w:type="spellEnd"/>
      <w:r w:rsidRPr="007739EF">
        <w:rPr>
          <w:rFonts w:ascii="Times New Roman" w:hAnsi="Times New Roman"/>
          <w:sz w:val="22"/>
          <w:szCs w:val="22"/>
        </w:rPr>
        <w:t>. zm.].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>Rozporządzenie Rady Ministrów z dnia 30 marca 2021 r. w sprawie Narodowego Programu Zdrowia na lata 2021–2025 [Dz.U. 2021 poz. 642].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>Serwis NFZ [gsl.nfz.gov.pl; dostęp: 13.01.2023r.].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  <w:lang w:val="en-US"/>
        </w:rPr>
        <w:t xml:space="preserve">Smith, C. A. (2010). A Systematic Review of Healthcare Professional–Led Education for Patients With Osteoporosis or Those at High Risk for the Disease. </w:t>
      </w:r>
      <w:proofErr w:type="spellStart"/>
      <w:r w:rsidRPr="007739EF">
        <w:rPr>
          <w:rFonts w:ascii="Times New Roman" w:hAnsi="Times New Roman"/>
          <w:sz w:val="22"/>
          <w:szCs w:val="22"/>
        </w:rPr>
        <w:t>Orthopaedic</w:t>
      </w:r>
      <w:proofErr w:type="spellEnd"/>
      <w:r w:rsidRPr="007739E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739EF">
        <w:rPr>
          <w:rFonts w:ascii="Times New Roman" w:hAnsi="Times New Roman"/>
          <w:sz w:val="22"/>
          <w:szCs w:val="22"/>
        </w:rPr>
        <w:t>Nursing</w:t>
      </w:r>
      <w:proofErr w:type="spellEnd"/>
      <w:r w:rsidRPr="007739EF">
        <w:rPr>
          <w:rFonts w:ascii="Times New Roman" w:hAnsi="Times New Roman"/>
          <w:sz w:val="22"/>
          <w:szCs w:val="22"/>
        </w:rPr>
        <w:t>, 29(2), 119-132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t>Suzin J. Szubert M. Kowalczyk-Amico K., Osteoporoza – częsty problem kobiety po menopauzie, Przegląd Menopauzalny 2009; 6: 320-323.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739EF">
        <w:rPr>
          <w:rFonts w:ascii="Times New Roman" w:hAnsi="Times New Roman"/>
          <w:sz w:val="22"/>
          <w:szCs w:val="22"/>
          <w:lang w:val="en-US"/>
        </w:rPr>
        <w:t xml:space="preserve">Tan A.M.,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LaMontagne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 xml:space="preserve"> A., 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Sarmugam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 xml:space="preserve"> R. et al., A cluster-</w:t>
      </w:r>
      <w:proofErr w:type="spellStart"/>
      <w:r w:rsidRPr="007739EF">
        <w:rPr>
          <w:rFonts w:ascii="Times New Roman" w:hAnsi="Times New Roman"/>
          <w:sz w:val="22"/>
          <w:szCs w:val="22"/>
          <w:lang w:val="en-US"/>
        </w:rPr>
        <w:t>randomised</w:t>
      </w:r>
      <w:proofErr w:type="spellEnd"/>
      <w:r w:rsidRPr="007739EF">
        <w:rPr>
          <w:rFonts w:ascii="Times New Roman" w:hAnsi="Times New Roman"/>
          <w:sz w:val="22"/>
          <w:szCs w:val="22"/>
          <w:lang w:val="en-US"/>
        </w:rPr>
        <w:t>, Controlled trial to assess the impact of a workplace osteoporosis prevention intervention on the dietary and physical activity behaviors of working women: study protocol, BMC Public Health 2013; 13: 405.</w:t>
      </w:r>
    </w:p>
    <w:p w:rsidR="007C5657" w:rsidRPr="007739EF" w:rsidRDefault="008E6AD5">
      <w:pPr>
        <w:pStyle w:val="Akapitzlist"/>
        <w:numPr>
          <w:ilvl w:val="0"/>
          <w:numId w:val="18"/>
        </w:numPr>
        <w:spacing w:before="96" w:after="96"/>
        <w:ind w:left="567" w:hanging="357"/>
        <w:jc w:val="both"/>
        <w:rPr>
          <w:rFonts w:ascii="Times New Roman" w:hAnsi="Times New Roman"/>
          <w:sz w:val="22"/>
          <w:szCs w:val="22"/>
        </w:rPr>
      </w:pPr>
      <w:r w:rsidRPr="007739EF">
        <w:rPr>
          <w:rFonts w:ascii="Times New Roman" w:hAnsi="Times New Roman"/>
          <w:sz w:val="22"/>
          <w:szCs w:val="22"/>
        </w:rPr>
        <w:lastRenderedPageBreak/>
        <w:t>Uchwała nr 196/2021 Rady Ministrów z dnia 27 grudnia 2021 r. [www.gov.pl/web/zdrowie; dostęp: 13.01.2023r.].</w:t>
      </w:r>
    </w:p>
    <w:p w:rsidR="007C5657" w:rsidRPr="007739EF" w:rsidRDefault="007C5657">
      <w:pPr>
        <w:spacing w:before="96" w:after="96"/>
        <w:rPr>
          <w:rFonts w:ascii="Times New Roman" w:hAnsi="Times New Roman"/>
        </w:rPr>
      </w:pPr>
    </w:p>
    <w:p w:rsidR="007C5657" w:rsidRPr="007739EF" w:rsidRDefault="007C5657">
      <w:pPr>
        <w:spacing w:before="96" w:after="96"/>
        <w:rPr>
          <w:rFonts w:ascii="Times New Roman" w:hAnsi="Times New Roman"/>
        </w:rPr>
        <w:sectPr w:rsidR="007C5657" w:rsidRPr="007739EF">
          <w:headerReference w:type="default" r:id="rId23"/>
          <w:footerReference w:type="default" r:id="rId24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C5657" w:rsidRPr="007739EF" w:rsidRDefault="008E6AD5">
      <w:pPr>
        <w:pStyle w:val="Nagwek1"/>
        <w:rPr>
          <w:rFonts w:ascii="Times New Roman" w:hAnsi="Times New Roman"/>
          <w:lang w:val="pl-PL"/>
        </w:rPr>
      </w:pPr>
      <w:bookmarkStart w:id="35" w:name="_Toc126153331"/>
      <w:r w:rsidRPr="007739EF">
        <w:rPr>
          <w:rFonts w:ascii="Times New Roman" w:hAnsi="Times New Roman"/>
          <w:lang w:val="pl-PL"/>
        </w:rPr>
        <w:lastRenderedPageBreak/>
        <w:t>Załączniki</w:t>
      </w:r>
      <w:bookmarkEnd w:id="35"/>
    </w:p>
    <w:p w:rsidR="007C5657" w:rsidRPr="007739EF" w:rsidRDefault="008E6AD5">
      <w:pPr>
        <w:spacing w:before="96" w:after="96"/>
        <w:rPr>
          <w:rFonts w:ascii="Times New Roman" w:hAnsi="Times New Roman"/>
        </w:rPr>
      </w:pPr>
      <w:r w:rsidRPr="007739EF">
        <w:rPr>
          <w:rFonts w:ascii="Times New Roman" w:hAnsi="Times New Roman"/>
        </w:rPr>
        <w:t>Załącznik 1</w:t>
      </w:r>
    </w:p>
    <w:p w:rsidR="007C5657" w:rsidRPr="007739EF" w:rsidRDefault="008E6AD5">
      <w:pPr>
        <w:spacing w:before="96" w:after="96"/>
        <w:rPr>
          <w:rFonts w:ascii="Times New Roman" w:hAnsi="Times New Roman"/>
          <w:b/>
          <w:bCs/>
        </w:rPr>
      </w:pPr>
      <w:r w:rsidRPr="007739EF">
        <w:rPr>
          <w:rFonts w:ascii="Times New Roman" w:hAnsi="Times New Roman"/>
          <w:b/>
          <w:bCs/>
        </w:rPr>
        <w:t>Formularz Zgłoszeniowy (ankieta wywiadu medycznego)</w:t>
      </w:r>
    </w:p>
    <w:tbl>
      <w:tblPr>
        <w:tblStyle w:val="Tabela-Siatka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7981"/>
        <w:gridCol w:w="2286"/>
      </w:tblGrid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DEDED" w:themeFill="accent3" w:themeFillTint="33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Dane uczestnika programu polityki zdrowotnej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Imię (imiona) i nazwisko</w:t>
            </w:r>
          </w:p>
        </w:tc>
        <w:tc>
          <w:tcPr>
            <w:tcW w:w="228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PESEL</w:t>
            </w:r>
          </w:p>
        </w:tc>
        <w:tc>
          <w:tcPr>
            <w:tcW w:w="228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DEDED" w:themeFill="accent3" w:themeFillTint="33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Dane kontaktowe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Adres zamieszkania</w:t>
            </w:r>
          </w:p>
        </w:tc>
        <w:tc>
          <w:tcPr>
            <w:tcW w:w="228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Telefon kontaktowy</w:t>
            </w:r>
          </w:p>
        </w:tc>
        <w:tc>
          <w:tcPr>
            <w:tcW w:w="228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 xml:space="preserve">E-mail </w:t>
            </w:r>
          </w:p>
        </w:tc>
        <w:tc>
          <w:tcPr>
            <w:tcW w:w="228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DEDED" w:themeFill="accent3" w:themeFillTint="33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Dane</w:t>
            </w:r>
            <w:r w:rsidRPr="007739EF">
              <w:rPr>
                <w:rFonts w:ascii="Times New Roman" w:eastAsia="Calibri" w:hAnsi="Times New Roman"/>
              </w:rPr>
              <w:t xml:space="preserve"> </w:t>
            </w:r>
            <w:r w:rsidRPr="007739EF">
              <w:rPr>
                <w:rFonts w:ascii="Times New Roman" w:eastAsia="Calibri" w:hAnsi="Times New Roman"/>
                <w:b/>
                <w:bCs/>
              </w:rPr>
              <w:t>niezbędne dla narzędzia FRAX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Wiek (w latach)</w:t>
            </w:r>
          </w:p>
        </w:tc>
        <w:tc>
          <w:tcPr>
            <w:tcW w:w="228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Płeć</w:t>
            </w:r>
          </w:p>
        </w:tc>
        <w:tc>
          <w:tcPr>
            <w:tcW w:w="228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kobieta </w:t>
            </w:r>
          </w:p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mężczyzna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Masa ciała (kg)</w:t>
            </w:r>
          </w:p>
        </w:tc>
        <w:tc>
          <w:tcPr>
            <w:tcW w:w="228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Wzrost (cm)</w:t>
            </w:r>
          </w:p>
        </w:tc>
        <w:tc>
          <w:tcPr>
            <w:tcW w:w="228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Przebyte złamania*</w:t>
            </w:r>
          </w:p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>Za przebyte złamanie uznaje się złamanie, które wystąpiło spontanicznie w okresie dorosłego życia, lub w wyniku urazu, który u zdrowej osoby nie spowodowałby złamania</w:t>
            </w:r>
          </w:p>
        </w:tc>
        <w:tc>
          <w:tcPr>
            <w:tcW w:w="228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tak </w:t>
            </w: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nie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Złamania biodra u co najmniej jednego z rodziców</w:t>
            </w:r>
          </w:p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>Pytanie o przebyte u matki lub ojca złamanie biodra.</w:t>
            </w:r>
          </w:p>
        </w:tc>
        <w:tc>
          <w:tcPr>
            <w:tcW w:w="228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tak </w:t>
            </w: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nie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Obecne palenie tytoniu*</w:t>
            </w:r>
          </w:p>
        </w:tc>
        <w:tc>
          <w:tcPr>
            <w:tcW w:w="228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tak </w:t>
            </w: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nie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 xml:space="preserve">Stosowanie </w:t>
            </w:r>
            <w:proofErr w:type="spellStart"/>
            <w:r w:rsidRPr="007739EF">
              <w:rPr>
                <w:rFonts w:ascii="Times New Roman" w:eastAsia="Calibri" w:hAnsi="Times New Roman"/>
                <w:b/>
                <w:bCs/>
              </w:rPr>
              <w:t>glikokortykosteroidów</w:t>
            </w:r>
            <w:proofErr w:type="spellEnd"/>
            <w:r w:rsidRPr="007739EF">
              <w:rPr>
                <w:rFonts w:ascii="Times New Roman" w:eastAsia="Calibri" w:hAnsi="Times New Roman"/>
                <w:b/>
                <w:bCs/>
              </w:rPr>
              <w:t>*</w:t>
            </w:r>
          </w:p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TAK - jeśli pacjent obecnie zażywa doustnie 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glikokortykosterydy</w:t>
            </w:r>
            <w:proofErr w:type="spellEnd"/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 lub zażywał je dłużej niż trzy miesiące w dawce odpowiadającej 5mg 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prednizolonu</w:t>
            </w:r>
            <w:proofErr w:type="spellEnd"/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 dziennie lub ekwiwalent dawki innych 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glikokortykosteroidów</w:t>
            </w:r>
            <w:proofErr w:type="spellEnd"/>
          </w:p>
        </w:tc>
        <w:tc>
          <w:tcPr>
            <w:tcW w:w="228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tak </w:t>
            </w: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nie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 xml:space="preserve">Zdiagnozowane reumatoidalne zapalenie stawów* </w:t>
            </w:r>
          </w:p>
        </w:tc>
        <w:tc>
          <w:tcPr>
            <w:tcW w:w="228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tak </w:t>
            </w: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nie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Wtórna osteoporoza</w:t>
            </w:r>
          </w:p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>TAK - jeśli pacjent ma schorzenie silnie związane z osteoporozą. Obejmuje to cukrzycę typu I (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insulinozależną</w:t>
            </w:r>
            <w:proofErr w:type="spellEnd"/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), wrodzoną łamliwością kości u dorosłych, nieleczoną przez długi czas nadczynność tarczycy, 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hipogonadyzm</w:t>
            </w:r>
            <w:proofErr w:type="spellEnd"/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 lub przedwczesną menopauzę (przed 45 rokiem życia), przewlekłe niedożywienie lub zespół złego wchłaniania oraz przewlekłą chorobę wątroby.</w:t>
            </w:r>
          </w:p>
        </w:tc>
        <w:tc>
          <w:tcPr>
            <w:tcW w:w="228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tak </w:t>
            </w: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nie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lastRenderedPageBreak/>
              <w:t>Spożycie 3 lub więcej jednostek alkoholu dziennie*</w:t>
            </w:r>
          </w:p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TAK - jeśli pacjent spożywa 3 lub więcej jednostek alkoholu dziennie. Pojęcie jednostki alkoholu może różnić się zależnie od kraju i wynosić od 8 do 10g alkoholu jednak zwykle odpowiada kuflowi piwa (285ml), kieliszkowi wódki (30ml) lub kieliszkowi wina (120ml) lub jednej miarce aperitifu (60ml) </w:t>
            </w:r>
          </w:p>
        </w:tc>
        <w:tc>
          <w:tcPr>
            <w:tcW w:w="228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tak </w:t>
            </w: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nie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Gęstość mineralna kości (BMD)*</w:t>
            </w:r>
          </w:p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>Wpisz nazwę densytometru oraz wynik badania BMD dla szyjki kości udowej (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neck</w:t>
            </w:r>
            <w:proofErr w:type="spellEnd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) (w g/cm2). Można również wprowadzić T-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score</w:t>
            </w:r>
            <w:proofErr w:type="spellEnd"/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 oparty na normie NHANES III dla kobiet. U pacjentów bez wyniku BMD należy zostawić puste pole</w:t>
            </w:r>
          </w:p>
        </w:tc>
        <w:tc>
          <w:tcPr>
            <w:tcW w:w="228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tak </w:t>
            </w:r>
            <w:r w:rsidRPr="007739EF">
              <w:rPr>
                <w:rFonts w:ascii="Times New Roman" w:eastAsia="Symbol" w:hAnsi="Times New Roman"/>
              </w:rPr>
              <w:t></w:t>
            </w:r>
            <w:r w:rsidRPr="007739EF">
              <w:rPr>
                <w:rFonts w:ascii="Times New Roman" w:eastAsia="Calibri" w:hAnsi="Times New Roman"/>
              </w:rPr>
              <w:t xml:space="preserve"> nie</w:t>
            </w: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DEDED" w:themeFill="accent3" w:themeFillTint="33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Wynik FRAX</w:t>
            </w:r>
          </w:p>
        </w:tc>
      </w:tr>
      <w:tr w:rsidR="007C5657" w:rsidRPr="007739EF">
        <w:trPr>
          <w:jc w:val="center"/>
        </w:trPr>
        <w:tc>
          <w:tcPr>
            <w:tcW w:w="798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 xml:space="preserve">10-letnie prawdopodobieństwo </w:t>
            </w:r>
            <w:proofErr w:type="spellStart"/>
            <w:r w:rsidRPr="007739EF">
              <w:rPr>
                <w:rFonts w:ascii="Times New Roman" w:eastAsia="Calibri" w:hAnsi="Times New Roman"/>
              </w:rPr>
              <w:t>osteoporotycznego</w:t>
            </w:r>
            <w:proofErr w:type="spellEnd"/>
            <w:r w:rsidRPr="007739EF">
              <w:rPr>
                <w:rFonts w:ascii="Times New Roman" w:eastAsia="Calibri" w:hAnsi="Times New Roman"/>
              </w:rPr>
              <w:t xml:space="preserve"> złamania łącznie we wszystkich głównych lokalizacjach</w:t>
            </w:r>
          </w:p>
        </w:tc>
        <w:tc>
          <w:tcPr>
            <w:tcW w:w="228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</w:tbl>
    <w:p w:rsidR="007C5657" w:rsidRPr="007739EF" w:rsidRDefault="007C5657">
      <w:pPr>
        <w:spacing w:before="96" w:after="96"/>
        <w:rPr>
          <w:rFonts w:ascii="Times New Roman" w:hAnsi="Times New Roman"/>
        </w:rPr>
      </w:pPr>
    </w:p>
    <w:p w:rsidR="007C5657" w:rsidRPr="007739EF" w:rsidRDefault="008E6AD5">
      <w:pPr>
        <w:spacing w:before="96" w:after="96"/>
        <w:ind w:left="142" w:right="-24"/>
        <w:jc w:val="both"/>
        <w:rPr>
          <w:rFonts w:ascii="Times New Roman" w:hAnsi="Times New Roman"/>
          <w:b/>
          <w:bCs/>
          <w:sz w:val="20"/>
          <w:szCs w:val="20"/>
        </w:rPr>
      </w:pPr>
      <w:r w:rsidRPr="007739EF">
        <w:rPr>
          <w:rFonts w:ascii="Times New Roman" w:hAnsi="Times New Roman"/>
          <w:b/>
          <w:bCs/>
          <w:sz w:val="20"/>
          <w:szCs w:val="20"/>
        </w:rPr>
        <w:t>*Uwagi do czynników ryzyka</w:t>
      </w:r>
    </w:p>
    <w:p w:rsidR="007C5657" w:rsidRPr="007739EF" w:rsidRDefault="008E6AD5">
      <w:pPr>
        <w:spacing w:before="96" w:after="96"/>
        <w:ind w:left="142" w:right="-24"/>
        <w:jc w:val="both"/>
        <w:rPr>
          <w:rFonts w:ascii="Times New Roman" w:hAnsi="Times New Roman"/>
          <w:sz w:val="20"/>
          <w:szCs w:val="20"/>
        </w:rPr>
      </w:pPr>
      <w:r w:rsidRPr="007739EF">
        <w:rPr>
          <w:rFonts w:ascii="Times New Roman" w:hAnsi="Times New Roman"/>
          <w:sz w:val="20"/>
          <w:szCs w:val="20"/>
        </w:rPr>
        <w:t>1) Przebyte złamanie - Przebyte złamanie kręgów jest szczególnym przypadkiem. Złamanie rozpoznane jedynie na radiogramie (morfometryczne złamanie trzonu) zalicza się do przebytego złamania. Przebyte złamanie kręgosłupa lub biodra jest bardzo silnym czynnikiem ryzyka. W związku z tym obliczone prawdopodobieństwo złamania może być zaniżone. Ryzyko złamania jest również niedoszacowane w przypadku kilku złamań.</w:t>
      </w:r>
    </w:p>
    <w:p w:rsidR="007C5657" w:rsidRPr="007739EF" w:rsidRDefault="008E6AD5">
      <w:pPr>
        <w:spacing w:before="96" w:after="96"/>
        <w:ind w:left="142" w:right="-24"/>
        <w:jc w:val="both"/>
        <w:rPr>
          <w:rFonts w:ascii="Times New Roman" w:hAnsi="Times New Roman"/>
          <w:sz w:val="20"/>
          <w:szCs w:val="20"/>
        </w:rPr>
      </w:pPr>
      <w:r w:rsidRPr="007739EF">
        <w:rPr>
          <w:rFonts w:ascii="Times New Roman" w:hAnsi="Times New Roman"/>
          <w:sz w:val="20"/>
          <w:szCs w:val="20"/>
        </w:rPr>
        <w:t xml:space="preserve">2) Palenie, alkohol, </w:t>
      </w:r>
      <w:proofErr w:type="spellStart"/>
      <w:r w:rsidRPr="007739EF">
        <w:rPr>
          <w:rFonts w:ascii="Times New Roman" w:hAnsi="Times New Roman"/>
          <w:sz w:val="20"/>
          <w:szCs w:val="20"/>
        </w:rPr>
        <w:t>glikokortykosteroidy</w:t>
      </w:r>
      <w:proofErr w:type="spellEnd"/>
      <w:r w:rsidRPr="007739EF">
        <w:rPr>
          <w:rFonts w:ascii="Times New Roman" w:hAnsi="Times New Roman"/>
          <w:sz w:val="20"/>
          <w:szCs w:val="20"/>
        </w:rPr>
        <w:t xml:space="preserve"> - Wpływ tych czynników zależy od dawki, im większa dawka, tym większe ryzyko. Nie jest to uwzględnione w algorytmie, dlatego przyjmuje się dawkę średnią. Decyzja lekarska jest niezbędna przy wysokich i niskich dawkach.</w:t>
      </w:r>
    </w:p>
    <w:p w:rsidR="007C5657" w:rsidRPr="007739EF" w:rsidRDefault="008E6AD5">
      <w:pPr>
        <w:spacing w:before="96" w:after="96"/>
        <w:ind w:left="142" w:right="-24"/>
        <w:jc w:val="both"/>
        <w:rPr>
          <w:rFonts w:ascii="Times New Roman" w:hAnsi="Times New Roman"/>
          <w:sz w:val="20"/>
          <w:szCs w:val="20"/>
        </w:rPr>
      </w:pPr>
      <w:r w:rsidRPr="007739EF">
        <w:rPr>
          <w:rFonts w:ascii="Times New Roman" w:hAnsi="Times New Roman"/>
          <w:sz w:val="20"/>
          <w:szCs w:val="20"/>
        </w:rPr>
        <w:t>3) Reumatoidalne zapalenie stawów (RZS)</w:t>
      </w:r>
    </w:p>
    <w:p w:rsidR="007C5657" w:rsidRPr="007739EF" w:rsidRDefault="008E6AD5">
      <w:pPr>
        <w:spacing w:before="96" w:after="96"/>
        <w:ind w:left="142" w:right="-24"/>
        <w:jc w:val="both"/>
        <w:rPr>
          <w:rFonts w:ascii="Times New Roman" w:hAnsi="Times New Roman"/>
          <w:sz w:val="20"/>
          <w:szCs w:val="20"/>
        </w:rPr>
      </w:pPr>
      <w:r w:rsidRPr="007739EF">
        <w:rPr>
          <w:rFonts w:ascii="Times New Roman" w:hAnsi="Times New Roman"/>
          <w:sz w:val="20"/>
          <w:szCs w:val="20"/>
        </w:rPr>
        <w:t xml:space="preserve">RZS jest czynnikiem ryzyka złamania. Jednakże choroba zwyrodnieniowa stawów </w:t>
      </w:r>
      <w:proofErr w:type="spellStart"/>
      <w:r w:rsidRPr="007739EF">
        <w:rPr>
          <w:rFonts w:ascii="Times New Roman" w:hAnsi="Times New Roman"/>
          <w:sz w:val="20"/>
          <w:szCs w:val="20"/>
        </w:rPr>
        <w:t>oddziaływuje</w:t>
      </w:r>
      <w:proofErr w:type="spellEnd"/>
      <w:r w:rsidRPr="007739EF">
        <w:rPr>
          <w:rFonts w:ascii="Times New Roman" w:hAnsi="Times New Roman"/>
          <w:sz w:val="20"/>
          <w:szCs w:val="20"/>
        </w:rPr>
        <w:t xml:space="preserve"> odwrotnie. Z tej przyczyny nie powinno się brać pod uwagę domniemanego przez pacjenta „artretyzmu”, jedynie chorobę udokumentowaną klinicznie lub laboratoryjnie.</w:t>
      </w:r>
    </w:p>
    <w:p w:rsidR="007C5657" w:rsidRPr="007739EF" w:rsidRDefault="008E6AD5">
      <w:pPr>
        <w:spacing w:before="96" w:after="96"/>
        <w:ind w:left="142" w:right="-24"/>
        <w:jc w:val="both"/>
        <w:rPr>
          <w:rFonts w:ascii="Times New Roman" w:hAnsi="Times New Roman"/>
          <w:sz w:val="20"/>
          <w:szCs w:val="20"/>
        </w:rPr>
      </w:pPr>
      <w:r w:rsidRPr="007739EF">
        <w:rPr>
          <w:rFonts w:ascii="Times New Roman" w:hAnsi="Times New Roman"/>
          <w:sz w:val="20"/>
          <w:szCs w:val="20"/>
        </w:rPr>
        <w:t>4) Gęstość mineralna kości (BMD) - Pomiaru dokonano metodą DXA w szyjce kości udowej. Wyniki T-</w:t>
      </w:r>
      <w:proofErr w:type="spellStart"/>
      <w:r w:rsidRPr="007739EF">
        <w:rPr>
          <w:rFonts w:ascii="Times New Roman" w:hAnsi="Times New Roman"/>
          <w:sz w:val="20"/>
          <w:szCs w:val="20"/>
        </w:rPr>
        <w:t>score</w:t>
      </w:r>
      <w:proofErr w:type="spellEnd"/>
      <w:r w:rsidRPr="007739EF">
        <w:rPr>
          <w:rFonts w:ascii="Times New Roman" w:hAnsi="Times New Roman"/>
          <w:sz w:val="20"/>
          <w:szCs w:val="20"/>
        </w:rPr>
        <w:t xml:space="preserve"> oparte są na normach NHANES dla kobiet w wieku 20-29 lat. Tych samych wartości absolutnych użyto dla mężczyzn.</w:t>
      </w:r>
    </w:p>
    <w:p w:rsidR="007C5657" w:rsidRPr="007739EF" w:rsidRDefault="007C5657">
      <w:pPr>
        <w:spacing w:before="96" w:after="96"/>
        <w:ind w:left="142" w:right="-24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ela-Siatka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5146"/>
        <w:gridCol w:w="5121"/>
      </w:tblGrid>
      <w:tr w:rsidR="007C5657" w:rsidRPr="007739EF">
        <w:trPr>
          <w:jc w:val="center"/>
        </w:trPr>
        <w:tc>
          <w:tcPr>
            <w:tcW w:w="5145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  <w:tc>
          <w:tcPr>
            <w:tcW w:w="5121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5145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</w:rPr>
              <w:t>Data i podpis pacjenta</w:t>
            </w:r>
          </w:p>
        </w:tc>
        <w:tc>
          <w:tcPr>
            <w:tcW w:w="5121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Data i podpis osoby przyjmującej formularz</w:t>
            </w:r>
          </w:p>
        </w:tc>
      </w:tr>
    </w:tbl>
    <w:p w:rsidR="007C5657" w:rsidRPr="007739EF" w:rsidRDefault="007C5657">
      <w:pPr>
        <w:spacing w:before="96" w:after="96"/>
        <w:ind w:left="142" w:right="-2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C5657" w:rsidRPr="007739EF" w:rsidRDefault="008E6AD5">
      <w:pPr>
        <w:spacing w:before="96" w:after="96"/>
        <w:ind w:left="142" w:right="-24"/>
        <w:jc w:val="both"/>
        <w:rPr>
          <w:rFonts w:ascii="Times New Roman" w:hAnsi="Times New Roman"/>
          <w:b/>
          <w:bCs/>
          <w:sz w:val="20"/>
          <w:szCs w:val="20"/>
        </w:rPr>
      </w:pPr>
      <w:r w:rsidRPr="007739EF">
        <w:rPr>
          <w:rFonts w:ascii="Times New Roman" w:hAnsi="Times New Roman"/>
          <w:b/>
          <w:bCs/>
          <w:sz w:val="20"/>
          <w:szCs w:val="20"/>
        </w:rPr>
        <w:t>OŚWIADCZENIE UCZESTNIKA PROGRAMU</w:t>
      </w:r>
    </w:p>
    <w:p w:rsidR="007C5657" w:rsidRPr="007739EF" w:rsidRDefault="008E6AD5">
      <w:pPr>
        <w:spacing w:before="96" w:after="96"/>
        <w:ind w:left="142" w:right="-24"/>
        <w:jc w:val="both"/>
        <w:rPr>
          <w:rFonts w:ascii="Times New Roman" w:hAnsi="Times New Roman"/>
        </w:rPr>
      </w:pPr>
      <w:r w:rsidRPr="007739EF">
        <w:rPr>
          <w:rFonts w:ascii="Times New Roman" w:hAnsi="Times New Roman"/>
        </w:rPr>
        <w:t>Oświadczam, nie jest obecnie uczestnikiem innego programu o podobnym charakterze finansowanym ze środków publicznych i nie uczestniczyłam/em w tego typu programie w ciągu ostatnich 24 miesięcy.</w:t>
      </w:r>
    </w:p>
    <w:p w:rsidR="007C5657" w:rsidRPr="007739EF" w:rsidRDefault="007C5657">
      <w:pPr>
        <w:spacing w:before="96" w:after="96"/>
        <w:ind w:left="142" w:right="-24"/>
        <w:jc w:val="both"/>
        <w:rPr>
          <w:rFonts w:ascii="Times New Roman" w:hAnsi="Times New Roman"/>
        </w:rPr>
      </w:pPr>
    </w:p>
    <w:tbl>
      <w:tblPr>
        <w:tblStyle w:val="Tabela-Siatka"/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7C5657" w:rsidRPr="007739EF">
        <w:tc>
          <w:tcPr>
            <w:tcW w:w="5103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trHeight w:val="50"/>
        </w:trPr>
        <w:tc>
          <w:tcPr>
            <w:tcW w:w="5103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</w:rPr>
              <w:t>Data i podpis pacjenta</w:t>
            </w:r>
          </w:p>
        </w:tc>
      </w:tr>
    </w:tbl>
    <w:p w:rsidR="007C5657" w:rsidRPr="007739EF" w:rsidRDefault="007C5657">
      <w:pPr>
        <w:rPr>
          <w:rFonts w:ascii="Times New Roman" w:hAnsi="Times New Roman"/>
        </w:rPr>
        <w:sectPr w:rsidR="007C5657" w:rsidRPr="007739EF">
          <w:headerReference w:type="default" r:id="rId25"/>
          <w:footerReference w:type="default" r:id="rId26"/>
          <w:pgSz w:w="11906" w:h="16838"/>
          <w:pgMar w:top="765" w:right="720" w:bottom="765" w:left="720" w:header="708" w:footer="708" w:gutter="0"/>
          <w:cols w:space="708"/>
          <w:formProt w:val="0"/>
          <w:docGrid w:linePitch="360"/>
        </w:sectPr>
      </w:pPr>
    </w:p>
    <w:p w:rsidR="007C5657" w:rsidRPr="007739EF" w:rsidRDefault="008E6AD5">
      <w:pPr>
        <w:spacing w:before="96" w:after="96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>Załącznik 2</w:t>
      </w:r>
    </w:p>
    <w:p w:rsidR="007C5657" w:rsidRPr="007739EF" w:rsidRDefault="008E6AD5">
      <w:pPr>
        <w:tabs>
          <w:tab w:val="left" w:pos="1050"/>
        </w:tabs>
        <w:spacing w:before="96" w:after="96"/>
        <w:jc w:val="center"/>
        <w:rPr>
          <w:rFonts w:ascii="Times New Roman" w:hAnsi="Times New Roman"/>
        </w:rPr>
      </w:pPr>
      <w:r w:rsidRPr="007739EF">
        <w:rPr>
          <w:rFonts w:ascii="Times New Roman" w:hAnsi="Times New Roman"/>
          <w:b/>
        </w:rPr>
        <w:t xml:space="preserve">Sprawozdanie realizatora z przeprowadzonych działań w ramach programu polityki zdrowotnej </w:t>
      </w:r>
      <w:r w:rsidRPr="007739EF">
        <w:rPr>
          <w:rFonts w:ascii="Times New Roman" w:hAnsi="Times New Roman"/>
        </w:rPr>
        <w:t>(wzór)</w:t>
      </w:r>
    </w:p>
    <w:tbl>
      <w:tblPr>
        <w:tblStyle w:val="Tabela-Siatka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4720"/>
        <w:gridCol w:w="5547"/>
      </w:tblGrid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DEDED" w:themeFill="accent3" w:themeFillTint="33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Dane realizatora programu polityki zdrowotnej</w:t>
            </w: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Pełna nazwa realizatora: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DEDED" w:themeFill="accent3" w:themeFillTint="33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Dane kontaktowe</w:t>
            </w: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Adres siedziby: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Telefon kontaktowy: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 xml:space="preserve">E-mail: 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DEDED" w:themeFill="accent3" w:themeFillTint="33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Sprawozdanie z przeprowadzonych działań</w:t>
            </w: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Okres realizacji zadania (od - do)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Szkolenia dla personelu (etap I)</w:t>
            </w: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zrealizowanych szkoleń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osób, które uczestniczyły w szkoleniach dla personelu medycznego, z podziałem na zawody medyczne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osób uczestniczących w szkoleniach dla personelu medycznego, u których doszło do wzrostu poziomu wiedzy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Działania edukacyjno-informacyjne (etap II)</w:t>
            </w: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świadczeniobiorców, którzy zostali poddani działaniom edukacyjno-informacyjnym w ramach wykładów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świadczeniobiorców, którzy zostali poddani działaniom edukacyjno-informacyjnym w ramach edukacji indywidualnej podczas etapu III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Liczbie uczestników działań informacyjno-edukacyjnych, u których doszło do wzrostu poziomu wiedzy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 xml:space="preserve">Ocena ryzyka poważnego złamania </w:t>
            </w:r>
            <w:proofErr w:type="spellStart"/>
            <w:r w:rsidRPr="007739EF">
              <w:rPr>
                <w:rFonts w:ascii="Times New Roman" w:eastAsia="Calibri" w:hAnsi="Times New Roman"/>
                <w:b/>
                <w:bCs/>
              </w:rPr>
              <w:t>osteoporotycznego</w:t>
            </w:r>
            <w:proofErr w:type="spellEnd"/>
            <w:r w:rsidRPr="007739EF">
              <w:rPr>
                <w:rFonts w:ascii="Times New Roman" w:eastAsia="Calibri" w:hAnsi="Times New Roman"/>
                <w:b/>
                <w:bCs/>
              </w:rPr>
              <w:t xml:space="preserve"> narzędziem FRAX (etap III)</w:t>
            </w: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jc w:val="both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świadczeniobiorców, którzy zostali zakwalifikowani do FRAX ogółem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sz w:val="20"/>
                <w:szCs w:val="20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 w tym z uzyskanym wynikiem &lt;5%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sz w:val="20"/>
                <w:szCs w:val="20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>- w tym z uzyskanym wynikiem ≥5%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Odsetek świadczeniobiorców z wynikiem FRAX ≥5% względem wszystkich świadczeniobiorców, dla których w ramach programu wykonano ocenę FRAX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DEDED" w:themeFill="accent3" w:themeFillTint="33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Pomiar BMD za pomocą DXA</w:t>
            </w: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świadczeniobiorców, którzy w ramach programu wykonali pomiar BMD za pomocą DXA ogółem, z podziałem na grupy wyników T-</w:t>
            </w:r>
            <w:proofErr w:type="spellStart"/>
            <w:r w:rsidRPr="007739EF">
              <w:rPr>
                <w:rFonts w:ascii="Times New Roman" w:eastAsia="Calibri" w:hAnsi="Times New Roman"/>
              </w:rPr>
              <w:t>score</w:t>
            </w:r>
            <w:proofErr w:type="spellEnd"/>
            <w:r w:rsidRPr="007739EF">
              <w:rPr>
                <w:rFonts w:ascii="Times New Roman" w:eastAsia="Calibri" w:hAnsi="Times New Roman"/>
              </w:rPr>
              <w:t xml:space="preserve"> (grupa &gt;–1; grupa ≤–1 i &gt;–2,5; grupa ≤–2,5),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sz w:val="20"/>
                <w:szCs w:val="20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>- w tym w grupie wyników T-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score</w:t>
            </w:r>
            <w:proofErr w:type="spellEnd"/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 &gt;–1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sz w:val="20"/>
                <w:szCs w:val="20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>- w tym w grupie wyników T-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score</w:t>
            </w:r>
            <w:proofErr w:type="spellEnd"/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 ≤–1 i &gt;–2,5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sz w:val="20"/>
                <w:szCs w:val="20"/>
              </w:rPr>
            </w:pPr>
            <w:r w:rsidRPr="007739EF">
              <w:rPr>
                <w:rFonts w:ascii="Times New Roman" w:eastAsia="Calibri" w:hAnsi="Times New Roman"/>
                <w:sz w:val="20"/>
                <w:szCs w:val="20"/>
              </w:rPr>
              <w:t>- w tym w grupie wyników T-</w:t>
            </w:r>
            <w:proofErr w:type="spellStart"/>
            <w:r w:rsidRPr="007739EF">
              <w:rPr>
                <w:rFonts w:ascii="Times New Roman" w:eastAsia="Calibri" w:hAnsi="Times New Roman"/>
                <w:sz w:val="20"/>
                <w:szCs w:val="20"/>
              </w:rPr>
              <w:t>score</w:t>
            </w:r>
            <w:proofErr w:type="spellEnd"/>
            <w:r w:rsidRPr="007739EF">
              <w:rPr>
                <w:rFonts w:ascii="Times New Roman" w:eastAsia="Calibri" w:hAnsi="Times New Roman"/>
                <w:sz w:val="20"/>
                <w:szCs w:val="20"/>
              </w:rPr>
              <w:t xml:space="preserve"> ≤–2,5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sz w:val="20"/>
                <w:szCs w:val="20"/>
              </w:rPr>
            </w:pPr>
            <w:r w:rsidRPr="007739EF">
              <w:rPr>
                <w:rFonts w:ascii="Times New Roman" w:eastAsia="Calibri" w:hAnsi="Times New Roman"/>
              </w:rPr>
              <w:t>Odsetek świadczeniobiorców z wynikiem BMD T-</w:t>
            </w:r>
            <w:proofErr w:type="spellStart"/>
            <w:r w:rsidRPr="007739EF">
              <w:rPr>
                <w:rFonts w:ascii="Times New Roman" w:eastAsia="Calibri" w:hAnsi="Times New Roman"/>
              </w:rPr>
              <w:t>score</w:t>
            </w:r>
            <w:proofErr w:type="spellEnd"/>
            <w:r w:rsidRPr="007739EF">
              <w:rPr>
                <w:rFonts w:ascii="Times New Roman" w:eastAsia="Calibri" w:hAnsi="Times New Roman"/>
              </w:rPr>
              <w:t xml:space="preserve"> ≤–2,5 względem wszystkich świadczeniobiorców, dla których przeprowadzono badanie DXA w ramach programu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Lekarska wizyta podsumowująca</w:t>
            </w: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świadczeniobiorców, którzy wzięli udział w lekarskiej wizycie podsumowującej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10266" w:type="dxa"/>
            <w:gridSpan w:val="2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 xml:space="preserve">Pozostałe mierniki </w:t>
            </w: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świadczeniobiorców, którzy nie zostali objęci działaniami w ramach programu polityki zdrowotnej, wraz ze wskazaniem powodów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Liczba osób, która zrezygnowała z udziału w programie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472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Odsetek opinii pozytywnych (odpowiedź bardzo dobrze lub dobrze w części I ankiety satysfakcji pacjenta) do wszystkich opinii przekazanych w wypełnionych przez uczestników ankietach oceny jakości świadczeń)</w:t>
            </w:r>
          </w:p>
        </w:tc>
        <w:tc>
          <w:tcPr>
            <w:tcW w:w="5546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</w:tbl>
    <w:p w:rsidR="007C5657" w:rsidRPr="007739EF" w:rsidRDefault="007C5657">
      <w:pPr>
        <w:tabs>
          <w:tab w:val="left" w:pos="1050"/>
        </w:tabs>
        <w:spacing w:before="96" w:after="96"/>
        <w:rPr>
          <w:rFonts w:ascii="Times New Roman" w:hAnsi="Times New Roman"/>
        </w:rPr>
      </w:pPr>
    </w:p>
    <w:tbl>
      <w:tblPr>
        <w:tblStyle w:val="Tabela-Siatka"/>
        <w:tblW w:w="10267" w:type="dxa"/>
        <w:jc w:val="center"/>
        <w:tblLayout w:type="fixed"/>
        <w:tblLook w:val="04A0" w:firstRow="1" w:lastRow="0" w:firstColumn="1" w:lastColumn="0" w:noHBand="0" w:noVBand="1"/>
      </w:tblPr>
      <w:tblGrid>
        <w:gridCol w:w="5146"/>
        <w:gridCol w:w="5121"/>
      </w:tblGrid>
      <w:tr w:rsidR="007C5657" w:rsidRPr="007739EF">
        <w:trPr>
          <w:jc w:val="center"/>
        </w:trPr>
        <w:tc>
          <w:tcPr>
            <w:tcW w:w="5145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  <w:tc>
          <w:tcPr>
            <w:tcW w:w="5121" w:type="dxa"/>
            <w:vAlign w:val="center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center"/>
        </w:trPr>
        <w:tc>
          <w:tcPr>
            <w:tcW w:w="5145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Miejscowość, data</w:t>
            </w:r>
          </w:p>
        </w:tc>
        <w:tc>
          <w:tcPr>
            <w:tcW w:w="5121" w:type="dxa"/>
            <w:shd w:val="clear" w:color="auto" w:fill="E7E6E6" w:themeFill="background2"/>
            <w:vAlign w:val="center"/>
          </w:tcPr>
          <w:p w:rsidR="007C5657" w:rsidRPr="007739EF" w:rsidRDefault="008E6AD5">
            <w:pPr>
              <w:spacing w:before="96" w:after="96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39EF">
              <w:rPr>
                <w:rFonts w:ascii="Times New Roman" w:eastAsia="Calibri" w:hAnsi="Times New Roman"/>
                <w:b/>
                <w:bCs/>
              </w:rPr>
              <w:t>pieczęć i podpis osoby                                                              działającej w imieniu sprawozdawcy</w:t>
            </w:r>
          </w:p>
        </w:tc>
      </w:tr>
    </w:tbl>
    <w:p w:rsidR="007C5657" w:rsidRPr="007739EF" w:rsidRDefault="007C5657">
      <w:pPr>
        <w:spacing w:before="96" w:after="96"/>
        <w:rPr>
          <w:rFonts w:ascii="Times New Roman" w:hAnsi="Times New Roman"/>
        </w:rPr>
        <w:sectPr w:rsidR="007C5657" w:rsidRPr="007739EF">
          <w:headerReference w:type="default" r:id="rId27"/>
          <w:footerReference w:type="default" r:id="rId28"/>
          <w:pgSz w:w="11906" w:h="16838"/>
          <w:pgMar w:top="765" w:right="720" w:bottom="765" w:left="720" w:header="708" w:footer="708" w:gutter="0"/>
          <w:cols w:space="708"/>
          <w:formProt w:val="0"/>
          <w:docGrid w:linePitch="360"/>
        </w:sectPr>
      </w:pPr>
    </w:p>
    <w:p w:rsidR="007C5657" w:rsidRPr="007739EF" w:rsidRDefault="008E6AD5">
      <w:pPr>
        <w:tabs>
          <w:tab w:val="left" w:pos="1050"/>
        </w:tabs>
        <w:spacing w:before="96" w:after="96"/>
        <w:rPr>
          <w:rFonts w:ascii="Times New Roman" w:hAnsi="Times New Roman"/>
        </w:rPr>
      </w:pPr>
      <w:r w:rsidRPr="007739EF">
        <w:rPr>
          <w:rFonts w:ascii="Times New Roman" w:hAnsi="Times New Roman"/>
        </w:rPr>
        <w:lastRenderedPageBreak/>
        <w:t>Załącznik 3</w:t>
      </w:r>
    </w:p>
    <w:p w:rsidR="007C5657" w:rsidRPr="007739EF" w:rsidRDefault="008E6AD5">
      <w:pPr>
        <w:tabs>
          <w:tab w:val="left" w:pos="1050"/>
        </w:tabs>
        <w:spacing w:before="96" w:after="96"/>
        <w:rPr>
          <w:rFonts w:ascii="Times New Roman" w:hAnsi="Times New Roman"/>
          <w:b/>
        </w:rPr>
      </w:pPr>
      <w:r w:rsidRPr="007739EF">
        <w:rPr>
          <w:rFonts w:ascii="Times New Roman" w:hAnsi="Times New Roman"/>
          <w:b/>
        </w:rPr>
        <w:t>Ankieta satysfakcji uczestnika programu polityki zdrowotnej (wzór)</w:t>
      </w:r>
    </w:p>
    <w:p w:rsidR="007C5657" w:rsidRPr="007739EF" w:rsidRDefault="007C5657">
      <w:pPr>
        <w:tabs>
          <w:tab w:val="left" w:pos="1050"/>
        </w:tabs>
        <w:spacing w:before="96" w:after="96"/>
        <w:rPr>
          <w:rFonts w:ascii="Times New Roman" w:hAnsi="Times New Roman"/>
          <w:b/>
        </w:rPr>
      </w:pPr>
    </w:p>
    <w:p w:rsidR="007C5657" w:rsidRPr="007739EF" w:rsidRDefault="008E6AD5">
      <w:pPr>
        <w:tabs>
          <w:tab w:val="left" w:pos="1050"/>
        </w:tabs>
        <w:spacing w:before="96" w:after="96"/>
        <w:rPr>
          <w:rFonts w:ascii="Times New Roman" w:hAnsi="Times New Roman"/>
          <w:b/>
        </w:rPr>
      </w:pPr>
      <w:r w:rsidRPr="007739EF">
        <w:rPr>
          <w:rFonts w:ascii="Times New Roman" w:hAnsi="Times New Roman"/>
          <w:b/>
        </w:rPr>
        <w:t>I. Ogólna ocena programu polityki zdrowotnej</w:t>
      </w:r>
    </w:p>
    <w:tbl>
      <w:tblPr>
        <w:tblStyle w:val="Tabela-Siatka"/>
        <w:tblW w:w="10456" w:type="dxa"/>
        <w:jc w:val="right"/>
        <w:tblLayout w:type="fixed"/>
        <w:tblLook w:val="04A0" w:firstRow="1" w:lastRow="0" w:firstColumn="1" w:lastColumn="0" w:noHBand="0" w:noVBand="1"/>
      </w:tblPr>
      <w:tblGrid>
        <w:gridCol w:w="5306"/>
        <w:gridCol w:w="1823"/>
        <w:gridCol w:w="993"/>
        <w:gridCol w:w="852"/>
        <w:gridCol w:w="1482"/>
      </w:tblGrid>
      <w:tr w:rsidR="007C5657" w:rsidRPr="007739EF">
        <w:trPr>
          <w:jc w:val="right"/>
        </w:trPr>
        <w:tc>
          <w:tcPr>
            <w:tcW w:w="530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Jak ogólnie Pan(i) ocenia:</w:t>
            </w:r>
          </w:p>
        </w:tc>
        <w:tc>
          <w:tcPr>
            <w:tcW w:w="1823" w:type="dxa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Bardzo dobrze</w:t>
            </w:r>
          </w:p>
        </w:tc>
        <w:tc>
          <w:tcPr>
            <w:tcW w:w="993" w:type="dxa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Dobrze</w:t>
            </w:r>
          </w:p>
        </w:tc>
        <w:tc>
          <w:tcPr>
            <w:tcW w:w="852" w:type="dxa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Źle</w:t>
            </w:r>
          </w:p>
        </w:tc>
        <w:tc>
          <w:tcPr>
            <w:tcW w:w="1482" w:type="dxa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Bardzo źle</w:t>
            </w:r>
          </w:p>
        </w:tc>
      </w:tr>
      <w:tr w:rsidR="007C5657" w:rsidRPr="007739EF">
        <w:trPr>
          <w:jc w:val="right"/>
        </w:trPr>
        <w:tc>
          <w:tcPr>
            <w:tcW w:w="5306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jakość świadczeń otrzymanych w programie polityki zdrowotnej?</w:t>
            </w:r>
          </w:p>
        </w:tc>
        <w:tc>
          <w:tcPr>
            <w:tcW w:w="1823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</w:tr>
    </w:tbl>
    <w:p w:rsidR="007C5657" w:rsidRPr="007739EF" w:rsidRDefault="007C5657">
      <w:pPr>
        <w:tabs>
          <w:tab w:val="left" w:pos="1050"/>
        </w:tabs>
        <w:spacing w:before="96" w:after="96"/>
        <w:rPr>
          <w:rFonts w:ascii="Times New Roman" w:hAnsi="Times New Roman"/>
          <w:b/>
        </w:rPr>
      </w:pPr>
    </w:p>
    <w:p w:rsidR="007C5657" w:rsidRPr="007739EF" w:rsidRDefault="008E6AD5">
      <w:pPr>
        <w:tabs>
          <w:tab w:val="left" w:pos="1050"/>
        </w:tabs>
        <w:spacing w:before="96" w:after="96"/>
        <w:rPr>
          <w:rFonts w:ascii="Times New Roman" w:hAnsi="Times New Roman"/>
          <w:b/>
        </w:rPr>
      </w:pPr>
      <w:r w:rsidRPr="007739EF">
        <w:rPr>
          <w:rFonts w:ascii="Times New Roman" w:hAnsi="Times New Roman"/>
          <w:b/>
        </w:rPr>
        <w:t>II. Szczegółowa ocena programu polityki zdrowotnej</w:t>
      </w:r>
    </w:p>
    <w:tbl>
      <w:tblPr>
        <w:tblStyle w:val="Tabela-Siatka"/>
        <w:tblW w:w="10456" w:type="dxa"/>
        <w:jc w:val="right"/>
        <w:tblLayout w:type="fixed"/>
        <w:tblLook w:val="04A0" w:firstRow="1" w:lastRow="0" w:firstColumn="1" w:lastColumn="0" w:noHBand="0" w:noVBand="1"/>
      </w:tblPr>
      <w:tblGrid>
        <w:gridCol w:w="5310"/>
        <w:gridCol w:w="1825"/>
        <w:gridCol w:w="990"/>
        <w:gridCol w:w="851"/>
        <w:gridCol w:w="1480"/>
      </w:tblGrid>
      <w:tr w:rsidR="007C5657" w:rsidRPr="007739EF">
        <w:trPr>
          <w:jc w:val="right"/>
        </w:trPr>
        <w:tc>
          <w:tcPr>
            <w:tcW w:w="531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Jak Pan(i) ocenia:</w:t>
            </w:r>
          </w:p>
        </w:tc>
        <w:tc>
          <w:tcPr>
            <w:tcW w:w="1825" w:type="dxa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Bardzo dobrze</w:t>
            </w:r>
          </w:p>
        </w:tc>
        <w:tc>
          <w:tcPr>
            <w:tcW w:w="990" w:type="dxa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Dobrze</w:t>
            </w:r>
          </w:p>
        </w:tc>
        <w:tc>
          <w:tcPr>
            <w:tcW w:w="851" w:type="dxa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Źle</w:t>
            </w:r>
          </w:p>
        </w:tc>
        <w:tc>
          <w:tcPr>
            <w:tcW w:w="1480" w:type="dxa"/>
            <w:vAlign w:val="center"/>
          </w:tcPr>
          <w:p w:rsidR="007C5657" w:rsidRPr="007739EF" w:rsidRDefault="008E6AD5">
            <w:pPr>
              <w:spacing w:before="96" w:after="96"/>
              <w:jc w:val="center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Bardzo źle</w:t>
            </w:r>
          </w:p>
        </w:tc>
      </w:tr>
      <w:tr w:rsidR="007C5657" w:rsidRPr="007739EF">
        <w:trPr>
          <w:jc w:val="right"/>
        </w:trPr>
        <w:tc>
          <w:tcPr>
            <w:tcW w:w="531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szybkość załatwienia formalności podczas umawiania terminu świadczeń otrzymanych w ramach programu?</w:t>
            </w:r>
          </w:p>
        </w:tc>
        <w:tc>
          <w:tcPr>
            <w:tcW w:w="1825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right"/>
        </w:trPr>
        <w:tc>
          <w:tcPr>
            <w:tcW w:w="531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 xml:space="preserve">staranność i dokładność przeprowadzenia wywiadu w ramach oceny ryzyka poważnego złamania </w:t>
            </w:r>
            <w:proofErr w:type="spellStart"/>
            <w:r w:rsidRPr="007739EF">
              <w:rPr>
                <w:rFonts w:ascii="Times New Roman" w:eastAsia="Calibri" w:hAnsi="Times New Roman"/>
              </w:rPr>
              <w:t>osteoporotycznego</w:t>
            </w:r>
            <w:proofErr w:type="spellEnd"/>
            <w:r w:rsidRPr="007739EF">
              <w:rPr>
                <w:rFonts w:ascii="Times New Roman" w:eastAsia="Calibri" w:hAnsi="Times New Roman"/>
              </w:rPr>
              <w:t xml:space="preserve"> narzędziem FRAX?</w:t>
            </w:r>
          </w:p>
        </w:tc>
        <w:tc>
          <w:tcPr>
            <w:tcW w:w="1825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right"/>
        </w:trPr>
        <w:tc>
          <w:tcPr>
            <w:tcW w:w="531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sposób przekazania informacji dot. osteoporozy i jej profilaktyki?</w:t>
            </w:r>
          </w:p>
        </w:tc>
        <w:tc>
          <w:tcPr>
            <w:tcW w:w="1825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</w:tr>
      <w:tr w:rsidR="007C5657" w:rsidRPr="007739EF">
        <w:trPr>
          <w:jc w:val="right"/>
        </w:trPr>
        <w:tc>
          <w:tcPr>
            <w:tcW w:w="5310" w:type="dxa"/>
            <w:vAlign w:val="center"/>
          </w:tcPr>
          <w:p w:rsidR="007C5657" w:rsidRPr="007739EF" w:rsidRDefault="008E6AD5">
            <w:pPr>
              <w:spacing w:before="96" w:after="96"/>
              <w:rPr>
                <w:rFonts w:ascii="Times New Roman" w:hAnsi="Times New Roman"/>
              </w:rPr>
            </w:pPr>
            <w:r w:rsidRPr="007739EF">
              <w:rPr>
                <w:rFonts w:ascii="Times New Roman" w:eastAsia="Calibri" w:hAnsi="Times New Roman"/>
              </w:rPr>
              <w:t>uprzejmość i życzliwość personelu medycznego wykonującego badanie gęstości mineralnej kości za pomocą densytometru DXA?</w:t>
            </w:r>
          </w:p>
        </w:tc>
        <w:tc>
          <w:tcPr>
            <w:tcW w:w="1825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7C5657" w:rsidRPr="007739EF" w:rsidRDefault="007C5657">
            <w:pPr>
              <w:spacing w:before="96" w:after="96"/>
              <w:jc w:val="center"/>
              <w:rPr>
                <w:rFonts w:ascii="Times New Roman" w:hAnsi="Times New Roman"/>
              </w:rPr>
            </w:pPr>
          </w:p>
        </w:tc>
      </w:tr>
    </w:tbl>
    <w:p w:rsidR="007C5657" w:rsidRPr="007739EF" w:rsidRDefault="007C5657">
      <w:pPr>
        <w:spacing w:before="96" w:after="96"/>
        <w:rPr>
          <w:rFonts w:ascii="Times New Roman" w:hAnsi="Times New Roman"/>
        </w:rPr>
      </w:pPr>
    </w:p>
    <w:p w:rsidR="007C5657" w:rsidRPr="007739EF" w:rsidRDefault="008E6AD5">
      <w:pPr>
        <w:spacing w:before="96" w:after="96"/>
        <w:rPr>
          <w:rFonts w:ascii="Times New Roman" w:hAnsi="Times New Roman"/>
        </w:rPr>
      </w:pPr>
      <w:r w:rsidRPr="007739EF">
        <w:rPr>
          <w:rFonts w:ascii="Times New Roman" w:hAnsi="Times New Roman"/>
        </w:rPr>
        <w:t xml:space="preserve">III. </w:t>
      </w:r>
      <w:r w:rsidRPr="007739EF">
        <w:rPr>
          <w:rFonts w:ascii="Times New Roman" w:hAnsi="Times New Roman"/>
          <w:b/>
          <w:bCs/>
        </w:rPr>
        <w:t>Dodatkowe uwagi/opinie:</w:t>
      </w:r>
    </w:p>
    <w:tbl>
      <w:tblPr>
        <w:tblStyle w:val="Tabela-Siatka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0456"/>
      </w:tblGrid>
      <w:tr w:rsidR="007C5657" w:rsidRPr="007739EF">
        <w:trPr>
          <w:jc w:val="center"/>
        </w:trPr>
        <w:tc>
          <w:tcPr>
            <w:tcW w:w="10456" w:type="dxa"/>
          </w:tcPr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  <w:p w:rsidR="007C5657" w:rsidRPr="007739EF" w:rsidRDefault="007C5657">
            <w:pPr>
              <w:spacing w:before="96" w:after="96"/>
              <w:rPr>
                <w:rFonts w:ascii="Times New Roman" w:hAnsi="Times New Roman"/>
              </w:rPr>
            </w:pPr>
          </w:p>
        </w:tc>
      </w:tr>
    </w:tbl>
    <w:p w:rsidR="007C5657" w:rsidRPr="007739EF" w:rsidRDefault="007C5657">
      <w:pPr>
        <w:spacing w:before="96" w:after="96"/>
        <w:rPr>
          <w:rFonts w:ascii="Times New Roman" w:hAnsi="Times New Roman"/>
        </w:rPr>
      </w:pPr>
    </w:p>
    <w:sectPr w:rsidR="007C5657" w:rsidRPr="007739EF">
      <w:headerReference w:type="default" r:id="rId29"/>
      <w:footerReference w:type="default" r:id="rId30"/>
      <w:pgSz w:w="11906" w:h="16838"/>
      <w:pgMar w:top="765" w:right="720" w:bottom="765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02" w:rsidRDefault="00A67F02">
      <w:pPr>
        <w:spacing w:before="0" w:after="0" w:line="240" w:lineRule="auto"/>
      </w:pPr>
      <w:r>
        <w:separator/>
      </w:r>
    </w:p>
  </w:endnote>
  <w:endnote w:type="continuationSeparator" w:id="0">
    <w:p w:rsidR="00A67F02" w:rsidRDefault="00A67F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630445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2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887393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31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5687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32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504792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3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08303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9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2283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10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475912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17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016177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18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716971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22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639784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26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635554"/>
      <w:docPartObj>
        <w:docPartGallery w:val="Page Numbers (Bottom of Page)"/>
        <w:docPartUnique/>
      </w:docPartObj>
    </w:sdtPr>
    <w:sdtEndPr/>
    <w:sdtContent>
      <w:p w:rsidR="007C5657" w:rsidRDefault="008E6AD5">
        <w:pPr>
          <w:pStyle w:val="Stopka"/>
          <w:jc w:val="right"/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fldChar w:fldCharType="begin"/>
        </w:r>
        <w:r>
          <w:rPr>
            <w:rFonts w:cs="Arial"/>
            <w:sz w:val="22"/>
            <w:szCs w:val="22"/>
          </w:rPr>
          <w:instrText xml:space="preserve"> PAGE </w:instrText>
        </w:r>
        <w:r>
          <w:rPr>
            <w:rFonts w:cs="Arial"/>
            <w:sz w:val="22"/>
            <w:szCs w:val="22"/>
          </w:rPr>
          <w:fldChar w:fldCharType="separate"/>
        </w:r>
        <w:r w:rsidR="007739EF">
          <w:rPr>
            <w:rFonts w:cs="Arial"/>
            <w:noProof/>
            <w:sz w:val="22"/>
            <w:szCs w:val="22"/>
          </w:rPr>
          <w:t>28</w:t>
        </w:r>
        <w:r>
          <w:rPr>
            <w:rFonts w:cs="Arial"/>
            <w:sz w:val="22"/>
            <w:szCs w:val="22"/>
          </w:rPr>
          <w:fldChar w:fldCharType="end"/>
        </w:r>
      </w:p>
      <w:p w:rsidR="007C5657" w:rsidRDefault="008E6AD5">
        <w:pPr>
          <w:pStyle w:val="Stopka"/>
          <w:jc w:val="center"/>
          <w:rPr>
            <w:rFonts w:cs="Arial"/>
            <w:sz w:val="20"/>
          </w:rPr>
        </w:pPr>
        <w:r>
          <w:rPr>
            <w:rFonts w:cs="Arial"/>
            <w:sz w:val="20"/>
          </w:rPr>
          <w:t>Gmina Kłodawa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02" w:rsidRDefault="00A67F02">
      <w:pPr>
        <w:rPr>
          <w:sz w:val="12"/>
        </w:rPr>
      </w:pPr>
      <w:r>
        <w:separator/>
      </w:r>
    </w:p>
  </w:footnote>
  <w:footnote w:type="continuationSeparator" w:id="0">
    <w:p w:rsidR="00A67F02" w:rsidRDefault="00A67F02">
      <w:pPr>
        <w:rPr>
          <w:sz w:val="12"/>
        </w:rPr>
      </w:pPr>
      <w:r>
        <w:continuationSeparator/>
      </w:r>
    </w:p>
  </w:footnote>
  <w:footnote w:id="1">
    <w:p w:rsidR="007C5657" w:rsidRDefault="008E6AD5">
      <w:pPr>
        <w:pStyle w:val="Stopka2"/>
        <w:tabs>
          <w:tab w:val="left" w:pos="584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Oznaczenie obejmuje imię i nazwisko oraz stanowisko służbowe.</w:t>
      </w:r>
    </w:p>
  </w:footnote>
  <w:footnote w:id="2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Tan A.M., </w:t>
      </w:r>
      <w:proofErr w:type="spellStart"/>
      <w:r>
        <w:rPr>
          <w:rFonts w:cs="Arial"/>
          <w:sz w:val="18"/>
          <w:szCs w:val="18"/>
          <w:lang w:val="en-US"/>
        </w:rPr>
        <w:t>LaMontagne</w:t>
      </w:r>
      <w:proofErr w:type="spellEnd"/>
      <w:r>
        <w:rPr>
          <w:rFonts w:cs="Arial"/>
          <w:sz w:val="18"/>
          <w:szCs w:val="18"/>
          <w:lang w:val="en-US"/>
        </w:rPr>
        <w:t xml:space="preserve"> A., </w:t>
      </w:r>
      <w:proofErr w:type="spellStart"/>
      <w:r>
        <w:rPr>
          <w:rFonts w:cs="Arial"/>
          <w:sz w:val="18"/>
          <w:szCs w:val="18"/>
          <w:lang w:val="en-US"/>
        </w:rPr>
        <w:t>Sarmugam</w:t>
      </w:r>
      <w:proofErr w:type="spellEnd"/>
      <w:r>
        <w:rPr>
          <w:rFonts w:cs="Arial"/>
          <w:sz w:val="18"/>
          <w:szCs w:val="18"/>
          <w:lang w:val="en-US"/>
        </w:rPr>
        <w:t xml:space="preserve"> R. et al., A cluster-</w:t>
      </w:r>
      <w:proofErr w:type="spellStart"/>
      <w:r>
        <w:rPr>
          <w:rFonts w:cs="Arial"/>
          <w:sz w:val="18"/>
          <w:szCs w:val="18"/>
          <w:lang w:val="en-US"/>
        </w:rPr>
        <w:t>randomised</w:t>
      </w:r>
      <w:proofErr w:type="spellEnd"/>
      <w:r>
        <w:rPr>
          <w:rFonts w:cs="Arial"/>
          <w:sz w:val="18"/>
          <w:szCs w:val="18"/>
          <w:lang w:val="en-US"/>
        </w:rPr>
        <w:t>, Controlled trial to assess the impact of a workplace osteoporosis prevention intervention on the dietary and physical activity behaviors of working women: study protocol, BMC Public Health 2013; 13: 405.</w:t>
      </w:r>
    </w:p>
  </w:footnote>
  <w:footnote w:id="3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Głuszko, P., </w:t>
      </w:r>
      <w:proofErr w:type="spellStart"/>
      <w:r>
        <w:rPr>
          <w:rFonts w:cs="Arial"/>
          <w:sz w:val="18"/>
          <w:szCs w:val="18"/>
        </w:rPr>
        <w:t>Tłustochowicz</w:t>
      </w:r>
      <w:proofErr w:type="spellEnd"/>
      <w:r>
        <w:rPr>
          <w:rFonts w:cs="Arial"/>
          <w:sz w:val="18"/>
          <w:szCs w:val="18"/>
        </w:rPr>
        <w:t xml:space="preserve">, W., &amp; Korkosz, M. (2017). Choroby metaboliczne kości. W: Gajewski P (red.) </w:t>
      </w:r>
      <w:proofErr w:type="spellStart"/>
      <w:r>
        <w:rPr>
          <w:rFonts w:cs="Arial"/>
          <w:sz w:val="18"/>
          <w:szCs w:val="18"/>
          <w:lang w:val="en-US"/>
        </w:rPr>
        <w:t>Interna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Szczeklika</w:t>
      </w:r>
      <w:proofErr w:type="spellEnd"/>
      <w:r>
        <w:rPr>
          <w:rFonts w:cs="Arial"/>
          <w:sz w:val="18"/>
          <w:szCs w:val="18"/>
          <w:lang w:val="en-US"/>
        </w:rPr>
        <w:t>, 2070-2076.</w:t>
      </w:r>
    </w:p>
  </w:footnote>
  <w:footnote w:id="4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Ibidem</w:t>
      </w:r>
      <w:proofErr w:type="spellEnd"/>
      <w:r>
        <w:rPr>
          <w:rFonts w:cs="Arial"/>
          <w:sz w:val="18"/>
          <w:szCs w:val="18"/>
          <w:lang w:val="en-US"/>
        </w:rPr>
        <w:t>.</w:t>
      </w:r>
    </w:p>
  </w:footnote>
  <w:footnote w:id="5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Ibidem</w:t>
      </w:r>
      <w:proofErr w:type="spellEnd"/>
      <w:r>
        <w:rPr>
          <w:rFonts w:cs="Arial"/>
          <w:sz w:val="18"/>
          <w:szCs w:val="18"/>
          <w:lang w:val="en-US"/>
        </w:rPr>
        <w:t>.</w:t>
      </w:r>
    </w:p>
  </w:footnote>
  <w:footnote w:id="6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Tan A.M., </w:t>
      </w:r>
      <w:proofErr w:type="spellStart"/>
      <w:r>
        <w:rPr>
          <w:rFonts w:cs="Arial"/>
          <w:sz w:val="18"/>
          <w:szCs w:val="18"/>
          <w:lang w:val="en-US"/>
        </w:rPr>
        <w:t>LaMontagne</w:t>
      </w:r>
      <w:proofErr w:type="spellEnd"/>
      <w:r>
        <w:rPr>
          <w:rFonts w:cs="Arial"/>
          <w:sz w:val="18"/>
          <w:szCs w:val="18"/>
          <w:lang w:val="en-US"/>
        </w:rPr>
        <w:t xml:space="preserve"> A., </w:t>
      </w:r>
      <w:proofErr w:type="spellStart"/>
      <w:r>
        <w:rPr>
          <w:rFonts w:cs="Arial"/>
          <w:sz w:val="18"/>
          <w:szCs w:val="18"/>
          <w:lang w:val="en-US"/>
        </w:rPr>
        <w:t>Sarmugam</w:t>
      </w:r>
      <w:proofErr w:type="spellEnd"/>
      <w:r>
        <w:rPr>
          <w:rFonts w:cs="Arial"/>
          <w:sz w:val="18"/>
          <w:szCs w:val="18"/>
          <w:lang w:val="en-US"/>
        </w:rPr>
        <w:t xml:space="preserve"> R. et al., A cluster-</w:t>
      </w:r>
      <w:proofErr w:type="spellStart"/>
      <w:r>
        <w:rPr>
          <w:rFonts w:cs="Arial"/>
          <w:sz w:val="18"/>
          <w:szCs w:val="18"/>
          <w:lang w:val="en-US"/>
        </w:rPr>
        <w:t>randomised</w:t>
      </w:r>
      <w:proofErr w:type="spellEnd"/>
      <w:r>
        <w:rPr>
          <w:rFonts w:cs="Arial"/>
          <w:sz w:val="18"/>
          <w:szCs w:val="18"/>
          <w:lang w:val="en-US"/>
        </w:rPr>
        <w:t>… op. cit.</w:t>
      </w:r>
    </w:p>
  </w:footnote>
  <w:footnote w:id="7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Suzin J. Szubert M. Kowalczyk-Amico K., Osteoporoza – częsty problem kobiety po menopauzie, Przegląd Menopauzalny 2009; 6: 320-323.</w:t>
      </w:r>
    </w:p>
  </w:footnote>
  <w:footnote w:id="8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Rabiej</w:t>
      </w:r>
      <w:proofErr w:type="spellEnd"/>
      <w:r>
        <w:rPr>
          <w:rFonts w:cs="Arial"/>
          <w:sz w:val="18"/>
          <w:szCs w:val="18"/>
        </w:rPr>
        <w:t xml:space="preserve"> M., Dmoch-</w:t>
      </w:r>
      <w:proofErr w:type="spellStart"/>
      <w:r>
        <w:rPr>
          <w:rFonts w:cs="Arial"/>
          <w:sz w:val="18"/>
          <w:szCs w:val="18"/>
        </w:rPr>
        <w:t>Gajzierska</w:t>
      </w:r>
      <w:proofErr w:type="spellEnd"/>
      <w:r>
        <w:rPr>
          <w:rFonts w:cs="Arial"/>
          <w:sz w:val="18"/>
          <w:szCs w:val="18"/>
        </w:rPr>
        <w:t xml:space="preserve"> E., Profilaktyka osteoporozy, Położna Nauka i Praktyka 2011; 4(16): 12-15.</w:t>
      </w:r>
    </w:p>
  </w:footnote>
  <w:footnote w:id="9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D. </w:t>
      </w:r>
      <w:proofErr w:type="spellStart"/>
      <w:r>
        <w:rPr>
          <w:rFonts w:cs="Arial"/>
          <w:sz w:val="18"/>
          <w:szCs w:val="18"/>
        </w:rPr>
        <w:t>Cianciara</w:t>
      </w:r>
      <w:proofErr w:type="spellEnd"/>
      <w:r>
        <w:rPr>
          <w:rFonts w:cs="Arial"/>
          <w:sz w:val="18"/>
          <w:szCs w:val="18"/>
        </w:rPr>
        <w:t xml:space="preserve">,  Zarys współczesnej promocji zdrowia, wyd. </w:t>
      </w:r>
      <w:r>
        <w:rPr>
          <w:rFonts w:cs="Arial"/>
          <w:sz w:val="18"/>
          <w:szCs w:val="18"/>
          <w:lang w:val="en-US"/>
        </w:rPr>
        <w:t>PZWL, Warszawa 2010, s. 104-111.</w:t>
      </w:r>
    </w:p>
  </w:footnote>
  <w:footnote w:id="10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[No authors listed], Management of osteoporosis in postmenopausal women: 2010 position statement of the North American Menopause Society. </w:t>
      </w:r>
      <w:proofErr w:type="spellStart"/>
      <w:r>
        <w:rPr>
          <w:rFonts w:cs="Arial"/>
          <w:sz w:val="18"/>
          <w:szCs w:val="18"/>
        </w:rPr>
        <w:t>Menopause</w:t>
      </w:r>
      <w:proofErr w:type="spellEnd"/>
      <w:r>
        <w:rPr>
          <w:rFonts w:cs="Arial"/>
          <w:sz w:val="18"/>
          <w:szCs w:val="18"/>
        </w:rPr>
        <w:t xml:space="preserve"> 2010; 17: 25-54.</w:t>
      </w:r>
    </w:p>
  </w:footnote>
  <w:footnote w:id="11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Głuszko, P., </w:t>
      </w:r>
      <w:proofErr w:type="spellStart"/>
      <w:r>
        <w:rPr>
          <w:rFonts w:cs="Arial"/>
          <w:sz w:val="18"/>
          <w:szCs w:val="18"/>
        </w:rPr>
        <w:t>Tłustochowicz</w:t>
      </w:r>
      <w:proofErr w:type="spellEnd"/>
      <w:r>
        <w:rPr>
          <w:rFonts w:cs="Arial"/>
          <w:sz w:val="18"/>
          <w:szCs w:val="18"/>
        </w:rPr>
        <w:t>, W., &amp; Korkosz, M. (2017). Choroby metaboliczne kości… op. cit.</w:t>
      </w:r>
    </w:p>
  </w:footnote>
  <w:footnote w:id="12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Broken Bones, Broken Lives: A roadmap to solve the fragility fracture crisis in Europe, The International Osteoporosis Foundation, 2018.</w:t>
      </w:r>
    </w:p>
  </w:footnote>
  <w:footnote w:id="13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Ibidem</w:t>
      </w:r>
      <w:proofErr w:type="spellEnd"/>
      <w:r>
        <w:rPr>
          <w:rFonts w:cs="Arial"/>
          <w:sz w:val="18"/>
          <w:szCs w:val="18"/>
          <w:lang w:val="en-US"/>
        </w:rPr>
        <w:t>.</w:t>
      </w:r>
    </w:p>
  </w:footnote>
  <w:footnote w:id="14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Hernlund</w:t>
      </w:r>
      <w:proofErr w:type="spellEnd"/>
      <w:r>
        <w:rPr>
          <w:rFonts w:cs="Arial"/>
          <w:sz w:val="18"/>
          <w:szCs w:val="18"/>
          <w:lang w:val="en-US"/>
        </w:rPr>
        <w:t xml:space="preserve">, E., </w:t>
      </w:r>
      <w:proofErr w:type="spellStart"/>
      <w:r>
        <w:rPr>
          <w:rFonts w:cs="Arial"/>
          <w:sz w:val="18"/>
          <w:szCs w:val="18"/>
          <w:lang w:val="en-US"/>
        </w:rPr>
        <w:t>Svedbom</w:t>
      </w:r>
      <w:proofErr w:type="spellEnd"/>
      <w:r>
        <w:rPr>
          <w:rFonts w:cs="Arial"/>
          <w:sz w:val="18"/>
          <w:szCs w:val="18"/>
          <w:lang w:val="en-US"/>
        </w:rPr>
        <w:t xml:space="preserve">, A., </w:t>
      </w:r>
      <w:proofErr w:type="spellStart"/>
      <w:r>
        <w:rPr>
          <w:rFonts w:cs="Arial"/>
          <w:sz w:val="18"/>
          <w:szCs w:val="18"/>
          <w:lang w:val="en-US"/>
        </w:rPr>
        <w:t>Ivergård</w:t>
      </w:r>
      <w:proofErr w:type="spellEnd"/>
      <w:r>
        <w:rPr>
          <w:rFonts w:cs="Arial"/>
          <w:sz w:val="18"/>
          <w:szCs w:val="18"/>
          <w:lang w:val="en-US"/>
        </w:rPr>
        <w:t xml:space="preserve">, M., </w:t>
      </w:r>
      <w:proofErr w:type="spellStart"/>
      <w:r>
        <w:rPr>
          <w:rFonts w:cs="Arial"/>
          <w:sz w:val="18"/>
          <w:szCs w:val="18"/>
          <w:lang w:val="en-US"/>
        </w:rPr>
        <w:t>Compston</w:t>
      </w:r>
      <w:proofErr w:type="spellEnd"/>
      <w:r>
        <w:rPr>
          <w:rFonts w:cs="Arial"/>
          <w:sz w:val="18"/>
          <w:szCs w:val="18"/>
          <w:lang w:val="en-US"/>
        </w:rPr>
        <w:t xml:space="preserve">, J., Cooper, C., </w:t>
      </w:r>
      <w:proofErr w:type="spellStart"/>
      <w:r>
        <w:rPr>
          <w:rFonts w:cs="Arial"/>
          <w:sz w:val="18"/>
          <w:szCs w:val="18"/>
          <w:lang w:val="en-US"/>
        </w:rPr>
        <w:t>Stenmark</w:t>
      </w:r>
      <w:proofErr w:type="spellEnd"/>
      <w:r>
        <w:rPr>
          <w:rFonts w:cs="Arial"/>
          <w:sz w:val="18"/>
          <w:szCs w:val="18"/>
          <w:lang w:val="en-US"/>
        </w:rPr>
        <w:t xml:space="preserve">, J., ... &amp; </w:t>
      </w:r>
      <w:proofErr w:type="spellStart"/>
      <w:r>
        <w:rPr>
          <w:rFonts w:cs="Arial"/>
          <w:sz w:val="18"/>
          <w:szCs w:val="18"/>
          <w:lang w:val="en-US"/>
        </w:rPr>
        <w:t>Kanis</w:t>
      </w:r>
      <w:proofErr w:type="spellEnd"/>
      <w:r>
        <w:rPr>
          <w:rFonts w:cs="Arial"/>
          <w:sz w:val="18"/>
          <w:szCs w:val="18"/>
          <w:lang w:val="en-US"/>
        </w:rPr>
        <w:t>, J. A. (2013). Osteoporosis in the European Union: medical management, epidemiology and economic burden. Archives of osteoporosis, 8(1-2), 136.</w:t>
      </w:r>
    </w:p>
  </w:footnote>
  <w:footnote w:id="15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Kanis</w:t>
      </w:r>
      <w:proofErr w:type="spellEnd"/>
      <w:r>
        <w:rPr>
          <w:rFonts w:cs="Arial"/>
          <w:sz w:val="18"/>
          <w:szCs w:val="18"/>
          <w:lang w:val="en-US"/>
        </w:rPr>
        <w:t xml:space="preserve">, J. A., Oden, A., McCloskey, E. V., Johansson, H., Wahl, D. A., &amp; Cooper, C. (2012). A systematic review of hip fracture incidence and probability of fracture worldwide. </w:t>
      </w:r>
      <w:proofErr w:type="spellStart"/>
      <w:r>
        <w:rPr>
          <w:rFonts w:cs="Arial"/>
          <w:sz w:val="18"/>
          <w:szCs w:val="18"/>
        </w:rPr>
        <w:t>Osteoporosis</w:t>
      </w:r>
      <w:proofErr w:type="spellEnd"/>
      <w:r>
        <w:rPr>
          <w:rFonts w:cs="Arial"/>
          <w:sz w:val="18"/>
          <w:szCs w:val="18"/>
        </w:rPr>
        <w:t xml:space="preserve"> International, 23(9), 2239-2256.</w:t>
      </w:r>
    </w:p>
  </w:footnote>
  <w:footnote w:id="16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Bank danych lokalnych [bdl.stat.gov.pl; dostęp: 25.01.2023r.].</w:t>
      </w:r>
    </w:p>
  </w:footnote>
  <w:footnote w:id="17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Rozporządzenie Ministra Zdrowia z dnia 6 listopada 2013 r. w sprawie świadczeń gwarantowanych z zakresu ambulatoryjnej opieki specjalistycznej [tekst jedn. Dz.U. 2016 poz. 357 z </w:t>
      </w:r>
      <w:proofErr w:type="spellStart"/>
      <w:r>
        <w:rPr>
          <w:rFonts w:cs="Arial"/>
          <w:sz w:val="18"/>
          <w:szCs w:val="18"/>
        </w:rPr>
        <w:t>późn</w:t>
      </w:r>
      <w:proofErr w:type="spellEnd"/>
      <w:r>
        <w:rPr>
          <w:rFonts w:cs="Arial"/>
          <w:sz w:val="18"/>
          <w:szCs w:val="18"/>
        </w:rPr>
        <w:t>. zm.].</w:t>
      </w:r>
    </w:p>
  </w:footnote>
  <w:footnote w:id="18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Program Polityki Zdrowotnej Program Koordynacji Profilaktyki Złamań </w:t>
      </w:r>
      <w:proofErr w:type="spellStart"/>
      <w:r>
        <w:rPr>
          <w:rFonts w:cs="Arial"/>
          <w:sz w:val="18"/>
          <w:szCs w:val="18"/>
        </w:rPr>
        <w:t>Osteoporotycznych</w:t>
      </w:r>
      <w:proofErr w:type="spellEnd"/>
      <w:r>
        <w:rPr>
          <w:rFonts w:cs="Arial"/>
          <w:sz w:val="18"/>
          <w:szCs w:val="18"/>
        </w:rPr>
        <w:t xml:space="preserve"> [pacjent.gov.pl; dostęp: 28.01.2023r.].</w:t>
      </w:r>
    </w:p>
  </w:footnote>
  <w:footnote w:id="19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Dane Ministerstwa Zdrowia i Narodowego Funduszu Zdrowia [https://pacjent.gov.pl/programy-profilaktyczne/profilaktyka-osteoporozy; dostęp: 25.01.2023r.].</w:t>
      </w:r>
    </w:p>
  </w:footnote>
  <w:footnote w:id="20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Serwis NFZ [gsl.nfz.gov.pl; dostęp: 25.01.2023r.].</w:t>
      </w:r>
    </w:p>
  </w:footnote>
  <w:footnote w:id="21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Uchwała nr 196/2021 Rady Ministrów z dnia 27 grudnia 2021 r. [www.gov.pl/web/zdrowie; dostęp: 25.01.2023r.].</w:t>
      </w:r>
    </w:p>
  </w:footnote>
  <w:footnote w:id="22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Rozporządzenie Ministra Zdrowia z dnia 22 listopada 2021 r. zmieniające rozporządzenie w sprawie priorytetów zdrowotnych [Dz.U. 2021 poz. 2144].</w:t>
      </w:r>
    </w:p>
  </w:footnote>
  <w:footnote w:id="23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Rozporządzenie Rady Ministrów z dnia 30 marca 2021 r. w sprawie Narodowego Programu Zdrowia na lata 2021–2025 [Dz.U. 2021 poz. 642].</w:t>
      </w:r>
    </w:p>
  </w:footnote>
  <w:footnote w:id="24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Obwieszczenie Ministra Zdrowia z dnia 27 sierpnia 2021 r. w sprawie mapy potrzeb zdrowotnych [DZ. URZ. Min. </w:t>
      </w:r>
      <w:proofErr w:type="spellStart"/>
      <w:r>
        <w:rPr>
          <w:rFonts w:cs="Arial"/>
          <w:sz w:val="18"/>
          <w:szCs w:val="18"/>
        </w:rPr>
        <w:t>Zdr</w:t>
      </w:r>
      <w:proofErr w:type="spellEnd"/>
      <w:r>
        <w:rPr>
          <w:rFonts w:cs="Arial"/>
          <w:sz w:val="18"/>
          <w:szCs w:val="18"/>
        </w:rPr>
        <w:t>. 2021.69]</w:t>
      </w:r>
    </w:p>
  </w:footnote>
  <w:footnote w:id="25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Obwieszczenie Wojewody Wielkopolskiego z dnia 17 grudnia 2021 r. w sprawie ogłoszenia wojewódzkiego planu transformacji.</w:t>
      </w:r>
    </w:p>
  </w:footnote>
  <w:footnote w:id="26">
    <w:p w:rsidR="007C5657" w:rsidRDefault="008E6AD5">
      <w:pPr>
        <w:pStyle w:val="Tekstprzypisudolnego"/>
        <w:spacing w:before="0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Czerwiński E., Boczoń K., Kumorek A., Epidemiologia złamań </w:t>
      </w:r>
      <w:proofErr w:type="spellStart"/>
      <w:r>
        <w:rPr>
          <w:sz w:val="18"/>
          <w:szCs w:val="18"/>
        </w:rPr>
        <w:t>osteoporotycznych</w:t>
      </w:r>
      <w:proofErr w:type="spellEnd"/>
      <w:r>
        <w:rPr>
          <w:sz w:val="18"/>
          <w:szCs w:val="18"/>
        </w:rPr>
        <w:t>, Postępy Nauk Medycznych, t. XXV, nr 3, 2012.</w:t>
      </w:r>
      <w:r>
        <w:t xml:space="preserve"> </w:t>
      </w:r>
    </w:p>
  </w:footnote>
  <w:footnote w:id="27">
    <w:p w:rsidR="007C5657" w:rsidRDefault="008E6AD5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Jeżeli uczestnik brał udział w grupowej edukacji zdrowotnej i wypełniał </w:t>
      </w:r>
      <w:proofErr w:type="spellStart"/>
      <w:r>
        <w:t>pre</w:t>
      </w:r>
      <w:proofErr w:type="spellEnd"/>
      <w:r>
        <w:t>-test oraz post-test wiedzy – nie wykonuje tego po raz drugi.</w:t>
      </w:r>
    </w:p>
  </w:footnote>
  <w:footnote w:id="28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Opinia Prezesa Agencji Oceny Technologii Medycznych i Taryfikacji nr 126/2019 z dnia 28 sierpnia 2019 r. [http://bipold.aotm.gov.pl; dostęp: 08.10.2019r.].</w:t>
      </w:r>
    </w:p>
  </w:footnote>
  <w:footnote w:id="29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Lorenc R. i in, Zalecenia postępowania diagnostycznego i leczniczego w osteoporozie w Polsce. Aktualizacja 2017, Endokrynologia Polska Tom/Volume 68; Suplement A.</w:t>
      </w:r>
    </w:p>
  </w:footnote>
  <w:footnote w:id="30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Opinia Prezesa Agencji Oceny Technologii Medycznych i Taryfikacji nr 126/2019… op. cit.</w:t>
      </w:r>
    </w:p>
  </w:footnote>
  <w:footnote w:id="31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Lorenc R. i in, Zalecenia postępowania diagnostycznego.. op. cit.</w:t>
      </w:r>
    </w:p>
  </w:footnote>
  <w:footnote w:id="32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</w:rPr>
        <w:t xml:space="preserve"> Opinia Prezesa Agencji Oceny Technologii Medycznych i Taryfikacji nr 126/2019… op. cit.</w:t>
      </w:r>
    </w:p>
  </w:footnote>
  <w:footnote w:id="33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Bell, K., Strand, H., &amp; </w:t>
      </w:r>
      <w:proofErr w:type="spellStart"/>
      <w:r>
        <w:rPr>
          <w:rFonts w:cs="Arial"/>
          <w:sz w:val="18"/>
          <w:szCs w:val="18"/>
          <w:lang w:val="en-US"/>
        </w:rPr>
        <w:t>Inder</w:t>
      </w:r>
      <w:proofErr w:type="spellEnd"/>
      <w:r>
        <w:rPr>
          <w:rFonts w:cs="Arial"/>
          <w:sz w:val="18"/>
          <w:szCs w:val="18"/>
          <w:lang w:val="en-US"/>
        </w:rPr>
        <w:t>, W. J. (2014). Effect of a dedicated osteoporosis health professional on screening and treatment in outpatients presenting with acute low trauma non-hip fracture: a systematic review. Archives of osteoporosis, 9(1), 167</w:t>
      </w:r>
    </w:p>
  </w:footnote>
  <w:footnote w:id="34">
    <w:p w:rsidR="007C5657" w:rsidRDefault="008E6AD5">
      <w:pPr>
        <w:pStyle w:val="Tekstprzypisudolnego"/>
        <w:spacing w:before="0"/>
        <w:jc w:val="both"/>
        <w:rPr>
          <w:rFonts w:cs="Arial"/>
          <w:sz w:val="18"/>
          <w:szCs w:val="18"/>
          <w:lang w:val="en-US"/>
        </w:rPr>
      </w:pPr>
      <w:r>
        <w:rPr>
          <w:rStyle w:val="Znakiprzypiswdolnych"/>
        </w:rPr>
        <w:footnoteRef/>
      </w:r>
      <w:r>
        <w:rPr>
          <w:rFonts w:cs="Arial"/>
          <w:sz w:val="18"/>
          <w:szCs w:val="18"/>
          <w:lang w:val="en-US"/>
        </w:rPr>
        <w:t xml:space="preserve"> Smith, C. A. (2010). A Systematic Review of Healthcare Professional–Led Education for Patients With Osteoporosis or Those at High Risk for the Disease. </w:t>
      </w:r>
      <w:proofErr w:type="spellStart"/>
      <w:r>
        <w:rPr>
          <w:rFonts w:cs="Arial"/>
          <w:sz w:val="18"/>
          <w:szCs w:val="18"/>
          <w:lang w:val="en-US"/>
        </w:rPr>
        <w:t>Orthopaedic</w:t>
      </w:r>
      <w:proofErr w:type="spellEnd"/>
      <w:r>
        <w:rPr>
          <w:rFonts w:cs="Arial"/>
          <w:sz w:val="18"/>
          <w:szCs w:val="18"/>
          <w:lang w:val="en-US"/>
        </w:rPr>
        <w:t xml:space="preserve"> Nursing, 29(2), 119-132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 xml:space="preserve">Program profilaktyki i wczesnego wykrywania osteoporozy </w:t>
    </w:r>
  </w:p>
  <w:p w:rsidR="007C5657" w:rsidRDefault="008E6AD5">
    <w:pPr>
      <w:pStyle w:val="Nagwek"/>
      <w:spacing w:before="0"/>
      <w:jc w:val="center"/>
      <w:rPr>
        <w:rFonts w:cs="Arial"/>
        <w:sz w:val="20"/>
      </w:rPr>
    </w:pPr>
    <w:r>
      <w:rPr>
        <w:rFonts w:cs="Arial"/>
        <w:sz w:val="20"/>
      </w:rPr>
      <w:t>wśród mieszkańców Gminy Kłodawa na lata 2023-2025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445"/>
    <w:multiLevelType w:val="multilevel"/>
    <w:tmpl w:val="B176A9A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0682240"/>
    <w:multiLevelType w:val="multilevel"/>
    <w:tmpl w:val="673CD2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0D18E4"/>
    <w:multiLevelType w:val="multilevel"/>
    <w:tmpl w:val="4B288B5E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numFmt w:val="bullet"/>
      <w:lvlText w:val="•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170C667C"/>
    <w:multiLevelType w:val="multilevel"/>
    <w:tmpl w:val="C4D82B4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8385532"/>
    <w:multiLevelType w:val="multilevel"/>
    <w:tmpl w:val="6B3098DA"/>
    <w:lvl w:ilvl="0">
      <w:start w:val="1"/>
      <w:numFmt w:val="bullet"/>
      <w:lvlText w:val=""/>
      <w:lvlJc w:val="left"/>
      <w:pPr>
        <w:tabs>
          <w:tab w:val="num" w:pos="0"/>
        </w:tabs>
        <w:ind w:left="46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29" w:hanging="360"/>
      </w:pPr>
      <w:rPr>
        <w:rFonts w:ascii="Wingdings" w:hAnsi="Wingdings" w:cs="Wingdings" w:hint="default"/>
      </w:rPr>
    </w:lvl>
  </w:abstractNum>
  <w:abstractNum w:abstractNumId="5">
    <w:nsid w:val="19DB18B5"/>
    <w:multiLevelType w:val="multilevel"/>
    <w:tmpl w:val="060E82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DD1715"/>
    <w:multiLevelType w:val="multilevel"/>
    <w:tmpl w:val="83968D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9B4743"/>
    <w:multiLevelType w:val="multilevel"/>
    <w:tmpl w:val="2A1017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13D2606"/>
    <w:multiLevelType w:val="multilevel"/>
    <w:tmpl w:val="E7065B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DCC756A"/>
    <w:multiLevelType w:val="multilevel"/>
    <w:tmpl w:val="8BB2ABF0"/>
    <w:lvl w:ilvl="0">
      <w:start w:val="1"/>
      <w:numFmt w:val="bullet"/>
      <w:lvlText w:val=""/>
      <w:lvlJc w:val="left"/>
      <w:pPr>
        <w:tabs>
          <w:tab w:val="num" w:pos="0"/>
        </w:tabs>
        <w:ind w:left="466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669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29" w:hanging="360"/>
      </w:pPr>
      <w:rPr>
        <w:rFonts w:ascii="Wingdings" w:hAnsi="Wingdings" w:cs="Wingdings" w:hint="default"/>
      </w:rPr>
    </w:lvl>
  </w:abstractNum>
  <w:abstractNum w:abstractNumId="10">
    <w:nsid w:val="4D434167"/>
    <w:multiLevelType w:val="multilevel"/>
    <w:tmpl w:val="B868DE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C062A30"/>
    <w:multiLevelType w:val="multilevel"/>
    <w:tmpl w:val="5D90CD2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5389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6593C22"/>
    <w:multiLevelType w:val="multilevel"/>
    <w:tmpl w:val="4DDAF9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9B74F69"/>
    <w:multiLevelType w:val="multilevel"/>
    <w:tmpl w:val="6F2203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BDA61B4"/>
    <w:multiLevelType w:val="multilevel"/>
    <w:tmpl w:val="F8AEE3FE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72A86A52"/>
    <w:multiLevelType w:val="multilevel"/>
    <w:tmpl w:val="529C8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36A016A"/>
    <w:multiLevelType w:val="multilevel"/>
    <w:tmpl w:val="FA68FF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DA5051"/>
    <w:multiLevelType w:val="multilevel"/>
    <w:tmpl w:val="DBCC99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E585476"/>
    <w:multiLevelType w:val="multilevel"/>
    <w:tmpl w:val="DCD46A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17"/>
  </w:num>
  <w:num w:numId="15">
    <w:abstractNumId w:val="10"/>
  </w:num>
  <w:num w:numId="16">
    <w:abstractNumId w:val="7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7"/>
    <w:rsid w:val="001D7E8D"/>
    <w:rsid w:val="004B1C40"/>
    <w:rsid w:val="007739EF"/>
    <w:rsid w:val="007C5657"/>
    <w:rsid w:val="00801ACA"/>
    <w:rsid w:val="008E6AD5"/>
    <w:rsid w:val="00A26811"/>
    <w:rsid w:val="00A67F02"/>
    <w:rsid w:val="00D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5B"/>
    <w:pPr>
      <w:spacing w:before="100" w:after="100" w:line="271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955"/>
    <w:pPr>
      <w:contextualSpacing/>
      <w:jc w:val="both"/>
      <w:outlineLvl w:val="0"/>
    </w:pPr>
    <w:rPr>
      <w:rFonts w:eastAsia="Times New Roman"/>
      <w:b/>
      <w:spacing w:val="5"/>
      <w:szCs w:val="36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955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D00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D00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62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4E2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4E2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4E2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4E2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5718"/>
  </w:style>
  <w:style w:type="character" w:customStyle="1" w:styleId="StopkaZnak">
    <w:name w:val="Stopka Znak"/>
    <w:basedOn w:val="Domylnaczcionkaakapitu"/>
    <w:link w:val="Stopka"/>
    <w:uiPriority w:val="99"/>
    <w:qFormat/>
    <w:rsid w:val="00265718"/>
  </w:style>
  <w:style w:type="character" w:customStyle="1" w:styleId="Nagwek1Znak">
    <w:name w:val="Nagłówek 1 Znak"/>
    <w:basedOn w:val="Domylnaczcionkaakapitu"/>
    <w:link w:val="Nagwek1"/>
    <w:uiPriority w:val="9"/>
    <w:qFormat/>
    <w:rsid w:val="00150955"/>
    <w:rPr>
      <w:rFonts w:ascii="Arial" w:eastAsia="Times New Roman" w:hAnsi="Arial"/>
      <w:b/>
      <w:spacing w:val="5"/>
      <w:szCs w:val="36"/>
      <w:lang w:val="en-US" w:bidi="en-US"/>
    </w:rPr>
  </w:style>
  <w:style w:type="character" w:customStyle="1" w:styleId="Teksttreci9">
    <w:name w:val="Tekst treści (9)"/>
    <w:qFormat/>
    <w:rsid w:val="00C657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6">
    <w:name w:val="Tekst treści (6)"/>
    <w:qFormat/>
    <w:rsid w:val="00C657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C657CC"/>
  </w:style>
  <w:style w:type="character" w:customStyle="1" w:styleId="Nagwek2Znak">
    <w:name w:val="Nagłówek 2 Znak"/>
    <w:basedOn w:val="Domylnaczcionkaakapitu"/>
    <w:link w:val="Nagwek2"/>
    <w:uiPriority w:val="9"/>
    <w:qFormat/>
    <w:rsid w:val="00150955"/>
    <w:rPr>
      <w:rFonts w:ascii="Arial" w:eastAsiaTheme="majorEastAsia" w:hAnsi="Arial" w:cstheme="majorBidi"/>
      <w:b/>
      <w:szCs w:val="26"/>
    </w:rPr>
  </w:style>
  <w:style w:type="character" w:styleId="Pogrubienie">
    <w:name w:val="Strong"/>
    <w:basedOn w:val="Domylnaczcionkaakapitu"/>
    <w:uiPriority w:val="22"/>
    <w:qFormat/>
    <w:rsid w:val="004D6AC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635F6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6649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D009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54E2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4E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4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657CC"/>
    <w:pPr>
      <w:spacing w:after="160" w:line="259" w:lineRule="auto"/>
      <w:textAlignment w:val="baseline"/>
    </w:pPr>
    <w:rPr>
      <w:rFonts w:eastAsia="SimSun"/>
      <w:kern w:val="2"/>
    </w:rPr>
  </w:style>
  <w:style w:type="paragraph" w:customStyle="1" w:styleId="Stopka2">
    <w:name w:val="Stopka2"/>
    <w:basedOn w:val="Standard"/>
    <w:qFormat/>
    <w:rsid w:val="00C657CC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5"/>
      <w:szCs w:val="15"/>
    </w:rPr>
  </w:style>
  <w:style w:type="paragraph" w:customStyle="1" w:styleId="Stopka3">
    <w:name w:val="Stopka (3)"/>
    <w:basedOn w:val="Standard"/>
    <w:qFormat/>
    <w:rsid w:val="00C657CC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64BF1"/>
    <w:pPr>
      <w:keepNext/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64BF1"/>
    <w:pPr>
      <w:tabs>
        <w:tab w:val="right" w:leader="dot" w:pos="9062"/>
      </w:tabs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264BF1"/>
    <w:pPr>
      <w:ind w:left="240"/>
    </w:pPr>
  </w:style>
  <w:style w:type="paragraph" w:styleId="NormalnyWeb">
    <w:name w:val="Normal (Web)"/>
    <w:basedOn w:val="Normalny"/>
    <w:uiPriority w:val="99"/>
    <w:semiHidden/>
    <w:unhideWhenUsed/>
    <w:qFormat/>
    <w:rsid w:val="004D6AC5"/>
    <w:pPr>
      <w:spacing w:beforeAutospacing="1" w:afterAutospacing="1" w:line="240" w:lineRule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2A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5B"/>
    <w:pPr>
      <w:spacing w:before="100" w:after="100" w:line="271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955"/>
    <w:pPr>
      <w:contextualSpacing/>
      <w:jc w:val="both"/>
      <w:outlineLvl w:val="0"/>
    </w:pPr>
    <w:rPr>
      <w:rFonts w:eastAsia="Times New Roman"/>
      <w:b/>
      <w:spacing w:val="5"/>
      <w:szCs w:val="36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955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D00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D00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622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4E2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54E2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54E2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4E2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5718"/>
  </w:style>
  <w:style w:type="character" w:customStyle="1" w:styleId="StopkaZnak">
    <w:name w:val="Stopka Znak"/>
    <w:basedOn w:val="Domylnaczcionkaakapitu"/>
    <w:link w:val="Stopka"/>
    <w:uiPriority w:val="99"/>
    <w:qFormat/>
    <w:rsid w:val="00265718"/>
  </w:style>
  <w:style w:type="character" w:customStyle="1" w:styleId="Nagwek1Znak">
    <w:name w:val="Nagłówek 1 Znak"/>
    <w:basedOn w:val="Domylnaczcionkaakapitu"/>
    <w:link w:val="Nagwek1"/>
    <w:uiPriority w:val="9"/>
    <w:qFormat/>
    <w:rsid w:val="00150955"/>
    <w:rPr>
      <w:rFonts w:ascii="Arial" w:eastAsia="Times New Roman" w:hAnsi="Arial"/>
      <w:b/>
      <w:spacing w:val="5"/>
      <w:szCs w:val="36"/>
      <w:lang w:val="en-US" w:bidi="en-US"/>
    </w:rPr>
  </w:style>
  <w:style w:type="character" w:customStyle="1" w:styleId="Teksttreci9">
    <w:name w:val="Tekst treści (9)"/>
    <w:qFormat/>
    <w:rsid w:val="00C657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6">
    <w:name w:val="Tekst treści (6)"/>
    <w:qFormat/>
    <w:rsid w:val="00C657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C657CC"/>
  </w:style>
  <w:style w:type="character" w:customStyle="1" w:styleId="Nagwek2Znak">
    <w:name w:val="Nagłówek 2 Znak"/>
    <w:basedOn w:val="Domylnaczcionkaakapitu"/>
    <w:link w:val="Nagwek2"/>
    <w:uiPriority w:val="9"/>
    <w:qFormat/>
    <w:rsid w:val="00150955"/>
    <w:rPr>
      <w:rFonts w:ascii="Arial" w:eastAsiaTheme="majorEastAsia" w:hAnsi="Arial" w:cstheme="majorBidi"/>
      <w:b/>
      <w:szCs w:val="26"/>
    </w:rPr>
  </w:style>
  <w:style w:type="character" w:styleId="Pogrubienie">
    <w:name w:val="Strong"/>
    <w:basedOn w:val="Domylnaczcionkaakapitu"/>
    <w:uiPriority w:val="22"/>
    <w:qFormat/>
    <w:rsid w:val="004D6AC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635F6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6649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D0099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54E2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54E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4E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571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657CC"/>
    <w:pPr>
      <w:spacing w:after="160" w:line="259" w:lineRule="auto"/>
      <w:textAlignment w:val="baseline"/>
    </w:pPr>
    <w:rPr>
      <w:rFonts w:eastAsia="SimSun"/>
      <w:kern w:val="2"/>
    </w:rPr>
  </w:style>
  <w:style w:type="paragraph" w:customStyle="1" w:styleId="Stopka2">
    <w:name w:val="Stopka2"/>
    <w:basedOn w:val="Standard"/>
    <w:qFormat/>
    <w:rsid w:val="00C657CC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15"/>
      <w:szCs w:val="15"/>
    </w:rPr>
  </w:style>
  <w:style w:type="paragraph" w:customStyle="1" w:styleId="Stopka3">
    <w:name w:val="Stopka (3)"/>
    <w:basedOn w:val="Standard"/>
    <w:qFormat/>
    <w:rsid w:val="00C657CC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64BF1"/>
    <w:pPr>
      <w:keepNext/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pacing w:val="0"/>
      <w:sz w:val="32"/>
      <w:szCs w:val="32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64BF1"/>
    <w:pPr>
      <w:tabs>
        <w:tab w:val="right" w:leader="dot" w:pos="9062"/>
      </w:tabs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264BF1"/>
    <w:pPr>
      <w:ind w:left="240"/>
    </w:pPr>
  </w:style>
  <w:style w:type="paragraph" w:styleId="NormalnyWeb">
    <w:name w:val="Normal (Web)"/>
    <w:basedOn w:val="Normalny"/>
    <w:uiPriority w:val="99"/>
    <w:semiHidden/>
    <w:unhideWhenUsed/>
    <w:qFormat/>
    <w:rsid w:val="004D6AC5"/>
    <w:pPr>
      <w:spacing w:beforeAutospacing="1" w:afterAutospacing="1" w:line="240" w:lineRule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2A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415C-E676-441E-B2C4-0859EDB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8306</Words>
  <Characters>49842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Marta Więcowska</cp:lastModifiedBy>
  <cp:revision>8</cp:revision>
  <cp:lastPrinted>2019-10-10T09:02:00Z</cp:lastPrinted>
  <dcterms:created xsi:type="dcterms:W3CDTF">2023-11-28T07:02:00Z</dcterms:created>
  <dcterms:modified xsi:type="dcterms:W3CDTF">2023-11-28T11:34:00Z</dcterms:modified>
  <dc:language>pl-PL</dc:language>
</cp:coreProperties>
</file>